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9DF" w:rsidRPr="005D65BF" w:rsidRDefault="005D65BF" w:rsidP="00BD2120">
      <w:pPr>
        <w:jc w:val="center"/>
        <w:rPr>
          <w:rFonts w:ascii="Arial" w:hAnsi="Arial" w:cs="Arial"/>
          <w:b/>
        </w:rPr>
      </w:pPr>
      <w:r w:rsidRPr="005D65BF">
        <w:rPr>
          <w:rFonts w:ascii="Arial" w:hAnsi="Arial" w:cs="Arial"/>
          <w:b/>
        </w:rPr>
        <w:t xml:space="preserve">~ </w:t>
      </w:r>
      <w:r w:rsidR="00844118" w:rsidRPr="005D65BF">
        <w:rPr>
          <w:rFonts w:ascii="Arial" w:hAnsi="Arial" w:cs="Arial"/>
          <w:b/>
        </w:rPr>
        <w:t>Template</w:t>
      </w:r>
      <w:r w:rsidRPr="005D65BF">
        <w:rPr>
          <w:rFonts w:ascii="Arial" w:hAnsi="Arial" w:cs="Arial"/>
          <w:b/>
        </w:rPr>
        <w:t xml:space="preserve"> Example ~</w:t>
      </w:r>
    </w:p>
    <w:p w:rsidR="00BD2120" w:rsidRPr="00BD2120" w:rsidRDefault="00BD2120" w:rsidP="00BD2120">
      <w:pPr>
        <w:jc w:val="center"/>
        <w:rPr>
          <w:rFonts w:ascii="Arial" w:hAnsi="Arial" w:cs="Arial"/>
          <w:b/>
        </w:rPr>
      </w:pPr>
      <w:r w:rsidRPr="00BD2120">
        <w:rPr>
          <w:rFonts w:ascii="Arial" w:hAnsi="Arial" w:cs="Arial"/>
          <w:b/>
        </w:rPr>
        <w:t>Peer Reviewed Journal Article Requirement</w:t>
      </w:r>
    </w:p>
    <w:p w:rsidR="00844118" w:rsidRPr="000156AE" w:rsidRDefault="00844118" w:rsidP="00844118">
      <w:pPr>
        <w:rPr>
          <w:rFonts w:ascii="Arial" w:hAnsi="Arial" w:cs="Arial"/>
        </w:rPr>
      </w:pPr>
      <w:r w:rsidRPr="000156AE">
        <w:rPr>
          <w:rFonts w:ascii="Arial" w:hAnsi="Arial" w:cs="Arial"/>
        </w:rPr>
        <w:t>Section 101(c</w:t>
      </w:r>
      <w:proofErr w:type="gramStart"/>
      <w:r w:rsidRPr="000156AE">
        <w:rPr>
          <w:rFonts w:ascii="Arial" w:hAnsi="Arial" w:cs="Arial"/>
        </w:rPr>
        <w:t>)(</w:t>
      </w:r>
      <w:proofErr w:type="gramEnd"/>
      <w:r w:rsidRPr="000156AE">
        <w:rPr>
          <w:rFonts w:ascii="Arial" w:hAnsi="Arial" w:cs="Arial"/>
        </w:rPr>
        <w:t>1) of the MACRA requires submission of new measures for publication in applicable specialty-appropriate, peer-reviewed journals</w:t>
      </w:r>
      <w:r>
        <w:rPr>
          <w:rFonts w:ascii="Arial" w:hAnsi="Arial" w:cs="Arial"/>
        </w:rPr>
        <w:t xml:space="preserve"> prior to implementing in MIPS</w:t>
      </w:r>
      <w:r w:rsidRPr="000156AE">
        <w:rPr>
          <w:rFonts w:ascii="Arial" w:hAnsi="Arial" w:cs="Arial"/>
        </w:rPr>
        <w:t>.  These measures will be submitted to a journal(s) before including any new measure in the final list of annual clinical quality measures (CQM) under MIPS.</w:t>
      </w:r>
      <w:r>
        <w:rPr>
          <w:rFonts w:ascii="Arial" w:hAnsi="Arial" w:cs="Arial"/>
        </w:rPr>
        <w:t xml:space="preserve"> </w:t>
      </w:r>
      <w:r w:rsidRPr="000156AE">
        <w:rPr>
          <w:rFonts w:ascii="Arial" w:hAnsi="Arial" w:cs="Arial"/>
        </w:rPr>
        <w:t xml:space="preserve">The measure owner shall provide the required information for article submission under the MACRA per CMS “Call for Measures” submission process. </w:t>
      </w:r>
    </w:p>
    <w:p w:rsidR="00844118" w:rsidRPr="000156AE" w:rsidRDefault="00844118" w:rsidP="00844118">
      <w:pPr>
        <w:rPr>
          <w:rFonts w:ascii="Arial" w:hAnsi="Arial" w:cs="Arial"/>
        </w:rPr>
      </w:pPr>
      <w:r w:rsidRPr="000156AE">
        <w:rPr>
          <w:rFonts w:ascii="Arial" w:hAnsi="Arial" w:cs="Arial"/>
        </w:rPr>
        <w:t>Measure owners submitting measures into JIRA must complete the required information by the MUC deadline. Some of the information requested below may be listed in specific fields in the JIRA tool, however to ensure that CMS has all of the necessary information, please submit the information as an attached word document in JIRA. This includes, but is not limited to:</w:t>
      </w:r>
    </w:p>
    <w:tbl>
      <w:tblPr>
        <w:tblW w:w="0" w:type="auto"/>
        <w:tblBorders>
          <w:top w:val="nil"/>
          <w:left w:val="nil"/>
          <w:bottom w:val="nil"/>
          <w:right w:val="nil"/>
        </w:tblBorders>
        <w:tblLayout w:type="fixed"/>
        <w:tblLook w:val="0000" w:firstRow="0" w:lastRow="0" w:firstColumn="0" w:lastColumn="0" w:noHBand="0" w:noVBand="0"/>
      </w:tblPr>
      <w:tblGrid>
        <w:gridCol w:w="9787"/>
      </w:tblGrid>
      <w:tr w:rsidR="003B190F" w:rsidRPr="003B190F" w:rsidTr="00296B16">
        <w:trPr>
          <w:trHeight w:val="105"/>
        </w:trPr>
        <w:tc>
          <w:tcPr>
            <w:tcW w:w="9787" w:type="dxa"/>
          </w:tcPr>
          <w:p w:rsidR="00296B16" w:rsidRPr="003B190F" w:rsidRDefault="003B190F" w:rsidP="003B190F">
            <w:pPr>
              <w:pStyle w:val="Default"/>
              <w:ind w:left="1440"/>
              <w:rPr>
                <w:color w:val="FF0000"/>
                <w:sz w:val="22"/>
                <w:szCs w:val="22"/>
              </w:rPr>
            </w:pPr>
            <w:r w:rsidRPr="003B190F">
              <w:rPr>
                <w:color w:val="FF0000"/>
                <w:sz w:val="22"/>
                <w:szCs w:val="22"/>
              </w:rPr>
              <w:t xml:space="preserve">Name:  </w:t>
            </w:r>
            <w:r w:rsidR="00296B16" w:rsidRPr="003B190F">
              <w:rPr>
                <w:color w:val="FF0000"/>
                <w:sz w:val="22"/>
                <w:szCs w:val="22"/>
              </w:rPr>
              <w:t>Ischemic Vascular Disease Care: All or None Outcome Measure-Optimal Control</w:t>
            </w:r>
          </w:p>
        </w:tc>
      </w:tr>
    </w:tbl>
    <w:p w:rsidR="00300FD4" w:rsidRPr="003B190F" w:rsidRDefault="003B190F" w:rsidP="00300FD4">
      <w:pPr>
        <w:spacing w:after="0" w:line="240" w:lineRule="auto"/>
        <w:jc w:val="center"/>
        <w:rPr>
          <w:color w:val="FF0000"/>
        </w:rPr>
      </w:pPr>
      <w:r w:rsidRPr="003B190F">
        <w:rPr>
          <w:color w:val="FF0000"/>
        </w:rPr>
        <w:t>Domain:  Effective Clinical Care</w:t>
      </w:r>
    </w:p>
    <w:p w:rsidR="00300FD4" w:rsidRPr="00300FD4" w:rsidRDefault="00300FD4" w:rsidP="00300FD4">
      <w:pPr>
        <w:rPr>
          <w:b/>
        </w:rPr>
      </w:pPr>
      <w:r w:rsidRPr="00300FD4">
        <w:rPr>
          <w:b/>
          <w:i/>
          <w:noProof/>
          <w:color w:val="FF0000"/>
        </w:rPr>
        <mc:AlternateContent>
          <mc:Choice Requires="wps">
            <w:drawing>
              <wp:anchor distT="45720" distB="45720" distL="114300" distR="114300" simplePos="0" relativeHeight="251659264" behindDoc="0" locked="0" layoutInCell="1" allowOverlap="1" wp14:anchorId="7335D954" wp14:editId="73DF5FBA">
                <wp:simplePos x="0" y="0"/>
                <wp:positionH relativeFrom="margin">
                  <wp:posOffset>476250</wp:posOffset>
                </wp:positionH>
                <wp:positionV relativeFrom="paragraph">
                  <wp:posOffset>98425</wp:posOffset>
                </wp:positionV>
                <wp:extent cx="5562600" cy="16573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657350"/>
                        </a:xfrm>
                        <a:prstGeom prst="rect">
                          <a:avLst/>
                        </a:prstGeom>
                        <a:solidFill>
                          <a:srgbClr val="FFFFFF"/>
                        </a:solidFill>
                        <a:ln w="9525">
                          <a:solidFill>
                            <a:srgbClr val="000000"/>
                          </a:solidFill>
                          <a:miter lim="800000"/>
                          <a:headEnd/>
                          <a:tailEnd/>
                        </a:ln>
                      </wps:spPr>
                      <wps:txbx>
                        <w:txbxContent>
                          <w:p w:rsidR="00296B16" w:rsidRPr="00CA60B3" w:rsidRDefault="00300FD4" w:rsidP="00300FD4">
                            <w:pPr>
                              <w:spacing w:after="0" w:line="240" w:lineRule="auto"/>
                              <w:rPr>
                                <w:i/>
                              </w:rPr>
                            </w:pPr>
                            <w:r w:rsidRPr="00CA60B3">
                              <w:rPr>
                                <w:b/>
                              </w:rPr>
                              <w:t xml:space="preserve">Measure Owner: </w:t>
                            </w:r>
                            <w:r w:rsidR="00296B16" w:rsidRPr="00CA60B3">
                              <w:t>Wisconsin Collaborative for Healthcare Quality (WCHQ)</w:t>
                            </w:r>
                          </w:p>
                          <w:p w:rsidR="00300FD4" w:rsidRPr="00CA60B3" w:rsidRDefault="00300FD4" w:rsidP="00300FD4">
                            <w:pPr>
                              <w:spacing w:after="0" w:line="240" w:lineRule="auto"/>
                            </w:pPr>
                            <w:r w:rsidRPr="00CA60B3">
                              <w:rPr>
                                <w:b/>
                              </w:rPr>
                              <w:t xml:space="preserve">Measure Developer: </w:t>
                            </w:r>
                            <w:r w:rsidR="00CA60B3" w:rsidRPr="00CA60B3">
                              <w:rPr>
                                <w:rFonts w:cs="Arial"/>
                              </w:rPr>
                              <w:t>Wisconsin Collaborative for Healthcare Quality (WCHQ)</w:t>
                            </w:r>
                          </w:p>
                          <w:p w:rsidR="00300FD4" w:rsidRPr="00CA60B3" w:rsidRDefault="00300FD4" w:rsidP="00CA60B3">
                            <w:pPr>
                              <w:autoSpaceDE w:val="0"/>
                              <w:autoSpaceDN w:val="0"/>
                              <w:adjustRightInd w:val="0"/>
                              <w:spacing w:after="0" w:line="240" w:lineRule="auto"/>
                              <w:rPr>
                                <w:b/>
                              </w:rPr>
                            </w:pPr>
                            <w:r w:rsidRPr="00CA60B3">
                              <w:rPr>
                                <w:b/>
                              </w:rPr>
                              <w:t>Description:</w:t>
                            </w:r>
                            <w:r w:rsidR="00C91023" w:rsidRPr="00CA60B3">
                              <w:rPr>
                                <w:rFonts w:ascii="Arial" w:hAnsi="Arial" w:cs="Arial"/>
                              </w:rPr>
                              <w:t xml:space="preserve"> </w:t>
                            </w:r>
                            <w:r w:rsidR="00C91023" w:rsidRPr="00CA60B3">
                              <w:rPr>
                                <w:rFonts w:cs="Arial"/>
                              </w:rPr>
                              <w:t>The IVD Al</w:t>
                            </w:r>
                            <w:r w:rsidR="005D65BF">
                              <w:rPr>
                                <w:rFonts w:cs="Arial"/>
                              </w:rPr>
                              <w:t>l</w:t>
                            </w:r>
                            <w:r w:rsidR="00C91023" w:rsidRPr="00CA60B3">
                              <w:rPr>
                                <w:rFonts w:cs="Arial"/>
                              </w:rPr>
                              <w:t>-or-None Measure is one outcome measure (optimal control). The measure contains</w:t>
                            </w:r>
                            <w:r w:rsidR="00CA60B3" w:rsidRPr="00CA60B3">
                              <w:rPr>
                                <w:rFonts w:cs="Arial"/>
                              </w:rPr>
                              <w:t xml:space="preserve"> </w:t>
                            </w:r>
                            <w:r w:rsidR="00C91023" w:rsidRPr="00CA60B3">
                              <w:rPr>
                                <w:rFonts w:cs="Arial"/>
                              </w:rPr>
                              <w:t>four goals. All four goals within a measure must be reached in order to meet that measure. The</w:t>
                            </w:r>
                            <w:r w:rsidR="00CA60B3" w:rsidRPr="00CA60B3">
                              <w:rPr>
                                <w:rFonts w:cs="Arial"/>
                              </w:rPr>
                              <w:t xml:space="preserve"> </w:t>
                            </w:r>
                            <w:r w:rsidR="00C91023" w:rsidRPr="00CA60B3">
                              <w:rPr>
                                <w:rFonts w:cs="Arial"/>
                              </w:rPr>
                              <w:t>numerator for the al</w:t>
                            </w:r>
                            <w:r w:rsidR="00CA60B3">
                              <w:rPr>
                                <w:rFonts w:cs="Arial"/>
                              </w:rPr>
                              <w:t>l</w:t>
                            </w:r>
                            <w:r w:rsidR="00C91023" w:rsidRPr="00CA60B3">
                              <w:rPr>
                                <w:rFonts w:cs="Arial"/>
                              </w:rPr>
                              <w:t>-or-none measure should be collected from the organization's tota</w:t>
                            </w:r>
                            <w:r w:rsidR="00CA60B3">
                              <w:rPr>
                                <w:rFonts w:cs="Arial"/>
                              </w:rPr>
                              <w:t>l I</w:t>
                            </w:r>
                            <w:r w:rsidR="00C91023" w:rsidRPr="00CA60B3">
                              <w:rPr>
                                <w:rFonts w:cs="Arial"/>
                              </w:rPr>
                              <w:t>VD</w:t>
                            </w:r>
                            <w:r w:rsidR="00CA60B3" w:rsidRPr="00CA60B3">
                              <w:rPr>
                                <w:rFonts w:cs="Arial"/>
                              </w:rPr>
                              <w:t xml:space="preserve"> </w:t>
                            </w:r>
                            <w:r w:rsidR="00C91023" w:rsidRPr="00CA60B3">
                              <w:rPr>
                                <w:rFonts w:cs="Arial"/>
                              </w:rPr>
                              <w:t>denominator. Al</w:t>
                            </w:r>
                            <w:r w:rsidR="005D65BF">
                              <w:rPr>
                                <w:rFonts w:cs="Arial"/>
                              </w:rPr>
                              <w:t>l</w:t>
                            </w:r>
                            <w:r w:rsidR="00C91023" w:rsidRPr="00CA60B3">
                              <w:rPr>
                                <w:rFonts w:cs="Arial"/>
                              </w:rPr>
                              <w:t>-or-None Outcome Measure (Optimal Control)- Using the IVD denominator</w:t>
                            </w:r>
                            <w:r w:rsidR="00CA60B3" w:rsidRPr="00CA60B3">
                              <w:rPr>
                                <w:rFonts w:cs="Arial"/>
                              </w:rPr>
                              <w:t xml:space="preserve"> </w:t>
                            </w:r>
                            <w:r w:rsidR="00C91023" w:rsidRPr="00CA60B3">
                              <w:rPr>
                                <w:rFonts w:cs="Arial"/>
                              </w:rPr>
                              <w:t>optimal results include: Most recent blood pressure (BP) measurement is less than 140/90 mm</w:t>
                            </w:r>
                            <w:r w:rsidR="00CA60B3" w:rsidRPr="00CA60B3">
                              <w:rPr>
                                <w:rFonts w:cs="Arial"/>
                              </w:rPr>
                              <w:t xml:space="preserve"> </w:t>
                            </w:r>
                            <w:r w:rsidR="00C91023" w:rsidRPr="00CA60B3">
                              <w:rPr>
                                <w:rFonts w:cs="Arial"/>
                              </w:rPr>
                              <w:t>Hg --And Most recent tobacco status is Tobacco Free-- And Daily Aspirin or Other Anti platelet</w:t>
                            </w:r>
                            <w:r w:rsidR="00CA60B3" w:rsidRPr="00CA60B3">
                              <w:rPr>
                                <w:rFonts w:cs="Arial"/>
                              </w:rPr>
                              <w:t xml:space="preserve"> </w:t>
                            </w:r>
                            <w:r w:rsidR="00C91023" w:rsidRPr="00CA60B3">
                              <w:rPr>
                                <w:rFonts w:cs="Arial"/>
                              </w:rPr>
                              <w:t>Unless Contraindicated --And Statin Use</w:t>
                            </w:r>
                          </w:p>
                          <w:p w:rsidR="00300FD4" w:rsidRDefault="00300FD4" w:rsidP="00300FD4">
                            <w:pPr>
                              <w:spacing w:after="0" w:line="240" w:lineRule="auto"/>
                              <w:rPr>
                                <w:b/>
                              </w:rPr>
                            </w:pPr>
                          </w:p>
                          <w:p w:rsidR="00300FD4" w:rsidRPr="006500F5" w:rsidRDefault="00300FD4" w:rsidP="00300FD4">
                            <w:pPr>
                              <w:spacing w:after="0" w:line="240" w:lineRule="auto"/>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35D954" id="_x0000_t202" coordsize="21600,21600" o:spt="202" path="m,l,21600r21600,l21600,xe">
                <v:stroke joinstyle="miter"/>
                <v:path gradientshapeok="t" o:connecttype="rect"/>
              </v:shapetype>
              <v:shape id="Text Box 2" o:spid="_x0000_s1026" type="#_x0000_t202" style="position:absolute;margin-left:37.5pt;margin-top:7.75pt;width:438pt;height:13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">
                <v:textbox>
                  <w:txbxContent>
                    <w:p w:rsidR="00296B16" w:rsidRPr="00CA60B3" w:rsidRDefault="00300FD4" w:rsidP="00300FD4">
                      <w:pPr>
                        <w:spacing w:after="0" w:line="240" w:lineRule="auto"/>
                        <w:rPr>
                          <w:i/>
                        </w:rPr>
                      </w:pPr>
                      <w:r w:rsidRPr="00CA60B3">
                        <w:rPr>
                          <w:b/>
                        </w:rPr>
                        <w:t xml:space="preserve">Measure Owner: </w:t>
                      </w:r>
                      <w:r w:rsidR="00296B16" w:rsidRPr="00CA60B3">
                        <w:t>Wisconsin Collaborative for Healthcare Quality (WCHQ)</w:t>
                      </w:r>
                    </w:p>
                    <w:p w:rsidR="00300FD4" w:rsidRPr="00CA60B3" w:rsidRDefault="00300FD4" w:rsidP="00300FD4">
                      <w:pPr>
                        <w:spacing w:after="0" w:line="240" w:lineRule="auto"/>
                      </w:pPr>
                      <w:r w:rsidRPr="00CA60B3">
                        <w:rPr>
                          <w:b/>
                        </w:rPr>
                        <w:t xml:space="preserve">Measure Developer: </w:t>
                      </w:r>
                      <w:r w:rsidR="00CA60B3" w:rsidRPr="00CA60B3">
                        <w:rPr>
                          <w:rFonts w:cs="Arial"/>
                        </w:rPr>
                        <w:t>Wisconsin Collaborative for Healthcare Quality (WCHQ)</w:t>
                      </w:r>
                    </w:p>
                    <w:p w:rsidR="00300FD4" w:rsidRPr="00CA60B3" w:rsidRDefault="00300FD4" w:rsidP="00CA60B3">
                      <w:pPr>
                        <w:autoSpaceDE w:val="0"/>
                        <w:autoSpaceDN w:val="0"/>
                        <w:adjustRightInd w:val="0"/>
                        <w:spacing w:after="0" w:line="240" w:lineRule="auto"/>
                        <w:rPr>
                          <w:b/>
                        </w:rPr>
                      </w:pPr>
                      <w:r w:rsidRPr="00CA60B3">
                        <w:rPr>
                          <w:b/>
                        </w:rPr>
                        <w:t>Description:</w:t>
                      </w:r>
                      <w:r w:rsidR="00C91023" w:rsidRPr="00CA60B3">
                        <w:rPr>
                          <w:rFonts w:ascii="Arial" w:hAnsi="Arial" w:cs="Arial"/>
                        </w:rPr>
                        <w:t xml:space="preserve"> </w:t>
                      </w:r>
                      <w:r w:rsidR="00C91023" w:rsidRPr="00CA60B3">
                        <w:rPr>
                          <w:rFonts w:cs="Arial"/>
                        </w:rPr>
                        <w:t>The IVD Al</w:t>
                      </w:r>
                      <w:r w:rsidR="005D65BF">
                        <w:rPr>
                          <w:rFonts w:cs="Arial"/>
                        </w:rPr>
                        <w:t>l</w:t>
                      </w:r>
                      <w:r w:rsidR="00C91023" w:rsidRPr="00CA60B3">
                        <w:rPr>
                          <w:rFonts w:cs="Arial"/>
                        </w:rPr>
                        <w:t>-or-None Measure is one outcome measure (optimal control). The measure contains</w:t>
                      </w:r>
                      <w:r w:rsidR="00CA60B3" w:rsidRPr="00CA60B3">
                        <w:rPr>
                          <w:rFonts w:cs="Arial"/>
                        </w:rPr>
                        <w:t xml:space="preserve"> </w:t>
                      </w:r>
                      <w:r w:rsidR="00C91023" w:rsidRPr="00CA60B3">
                        <w:rPr>
                          <w:rFonts w:cs="Arial"/>
                        </w:rPr>
                        <w:t>four goals. All four goals within a measure must be reached in order to meet that measure. The</w:t>
                      </w:r>
                      <w:r w:rsidR="00CA60B3" w:rsidRPr="00CA60B3">
                        <w:rPr>
                          <w:rFonts w:cs="Arial"/>
                        </w:rPr>
                        <w:t xml:space="preserve"> </w:t>
                      </w:r>
                      <w:r w:rsidR="00C91023" w:rsidRPr="00CA60B3">
                        <w:rPr>
                          <w:rFonts w:cs="Arial"/>
                        </w:rPr>
                        <w:t>numerator for the al</w:t>
                      </w:r>
                      <w:r w:rsidR="00CA60B3">
                        <w:rPr>
                          <w:rFonts w:cs="Arial"/>
                        </w:rPr>
                        <w:t>l</w:t>
                      </w:r>
                      <w:r w:rsidR="00C91023" w:rsidRPr="00CA60B3">
                        <w:rPr>
                          <w:rFonts w:cs="Arial"/>
                        </w:rPr>
                        <w:t>-or-none measure should be collected from the organization's tota</w:t>
                      </w:r>
                      <w:r w:rsidR="00CA60B3">
                        <w:rPr>
                          <w:rFonts w:cs="Arial"/>
                        </w:rPr>
                        <w:t>l I</w:t>
                      </w:r>
                      <w:r w:rsidR="00C91023" w:rsidRPr="00CA60B3">
                        <w:rPr>
                          <w:rFonts w:cs="Arial"/>
                        </w:rPr>
                        <w:t>VD</w:t>
                      </w:r>
                      <w:r w:rsidR="00CA60B3" w:rsidRPr="00CA60B3">
                        <w:rPr>
                          <w:rFonts w:cs="Arial"/>
                        </w:rPr>
                        <w:t xml:space="preserve"> </w:t>
                      </w:r>
                      <w:r w:rsidR="00C91023" w:rsidRPr="00CA60B3">
                        <w:rPr>
                          <w:rFonts w:cs="Arial"/>
                        </w:rPr>
                        <w:t>denominator. Al</w:t>
                      </w:r>
                      <w:r w:rsidR="005D65BF">
                        <w:rPr>
                          <w:rFonts w:cs="Arial"/>
                        </w:rPr>
                        <w:t>l</w:t>
                      </w:r>
                      <w:r w:rsidR="00C91023" w:rsidRPr="00CA60B3">
                        <w:rPr>
                          <w:rFonts w:cs="Arial"/>
                        </w:rPr>
                        <w:t>-or-None Outcome Measure (Optimal Control)- Using the IVD denominator</w:t>
                      </w:r>
                      <w:r w:rsidR="00CA60B3" w:rsidRPr="00CA60B3">
                        <w:rPr>
                          <w:rFonts w:cs="Arial"/>
                        </w:rPr>
                        <w:t xml:space="preserve"> </w:t>
                      </w:r>
                      <w:r w:rsidR="00C91023" w:rsidRPr="00CA60B3">
                        <w:rPr>
                          <w:rFonts w:cs="Arial"/>
                        </w:rPr>
                        <w:t>optimal results include: Most recent blood pressure (BP) measurement is less than 140/90 mm</w:t>
                      </w:r>
                      <w:r w:rsidR="00CA60B3" w:rsidRPr="00CA60B3">
                        <w:rPr>
                          <w:rFonts w:cs="Arial"/>
                        </w:rPr>
                        <w:t xml:space="preserve"> </w:t>
                      </w:r>
                      <w:r w:rsidR="00C91023" w:rsidRPr="00CA60B3">
                        <w:rPr>
                          <w:rFonts w:cs="Arial"/>
                        </w:rPr>
                        <w:t>Hg --And Most recent tobacco status is Tobacco Free-- And Daily Aspirin or Other Anti platelet</w:t>
                      </w:r>
                      <w:r w:rsidR="00CA60B3" w:rsidRPr="00CA60B3">
                        <w:rPr>
                          <w:rFonts w:cs="Arial"/>
                        </w:rPr>
                        <w:t xml:space="preserve"> </w:t>
                      </w:r>
                      <w:r w:rsidR="00C91023" w:rsidRPr="00CA60B3">
                        <w:rPr>
                          <w:rFonts w:cs="Arial"/>
                        </w:rPr>
                        <w:t>Unless Contraindicated --And Statin Use</w:t>
                      </w:r>
                    </w:p>
                    <w:p w:rsidR="00300FD4" w:rsidRDefault="00300FD4" w:rsidP="00300FD4">
                      <w:pPr>
                        <w:spacing w:after="0" w:line="240" w:lineRule="auto"/>
                        <w:rPr>
                          <w:b/>
                        </w:rPr>
                      </w:pPr>
                    </w:p>
                    <w:p w:rsidR="00300FD4" w:rsidRPr="006500F5" w:rsidRDefault="00300FD4" w:rsidP="00300FD4">
                      <w:pPr>
                        <w:spacing w:after="0" w:line="240" w:lineRule="auto"/>
                        <w:rPr>
                          <w:b/>
                        </w:rPr>
                      </w:pPr>
                    </w:p>
                  </w:txbxContent>
                </v:textbox>
                <w10:wrap type="square" anchorx="margin"/>
              </v:shape>
            </w:pict>
          </mc:Fallback>
        </mc:AlternateContent>
      </w:r>
    </w:p>
    <w:p w:rsidR="00300FD4" w:rsidRPr="00300FD4" w:rsidRDefault="00300FD4" w:rsidP="00300FD4">
      <w:pPr>
        <w:pStyle w:val="ListParagraph"/>
        <w:rPr>
          <w:b/>
        </w:rPr>
      </w:pPr>
    </w:p>
    <w:p w:rsidR="00300FD4" w:rsidRPr="00300FD4" w:rsidRDefault="00300FD4" w:rsidP="00300FD4">
      <w:pPr>
        <w:ind w:left="360"/>
        <w:rPr>
          <w:b/>
        </w:rPr>
      </w:pPr>
    </w:p>
    <w:p w:rsidR="00300FD4" w:rsidRDefault="00300FD4" w:rsidP="00300FD4">
      <w:pPr>
        <w:rPr>
          <w:b/>
        </w:rPr>
      </w:pPr>
    </w:p>
    <w:p w:rsidR="00CA60B3" w:rsidRDefault="00CA60B3" w:rsidP="00300FD4">
      <w:pPr>
        <w:rPr>
          <w:b/>
        </w:rPr>
      </w:pPr>
    </w:p>
    <w:p w:rsidR="00CA60B3" w:rsidRDefault="00CA60B3" w:rsidP="00300FD4">
      <w:pPr>
        <w:rPr>
          <w:b/>
        </w:rPr>
      </w:pPr>
    </w:p>
    <w:p w:rsidR="00CA60B3" w:rsidRPr="00300FD4" w:rsidRDefault="00CA60B3" w:rsidP="00300FD4">
      <w:pPr>
        <w:rPr>
          <w:b/>
        </w:rPr>
      </w:pPr>
    </w:p>
    <w:p w:rsidR="00300FD4" w:rsidRPr="00300FD4" w:rsidRDefault="00300FD4" w:rsidP="00300FD4">
      <w:pPr>
        <w:pStyle w:val="ListParagraph"/>
        <w:numPr>
          <w:ilvl w:val="0"/>
          <w:numId w:val="1"/>
        </w:numPr>
        <w:rPr>
          <w:b/>
        </w:rPr>
      </w:pPr>
      <w:r w:rsidRPr="00300FD4">
        <w:rPr>
          <w:b/>
        </w:rPr>
        <w:t>Statement</w:t>
      </w:r>
    </w:p>
    <w:p w:rsidR="00300FD4" w:rsidRDefault="00300FD4" w:rsidP="00300FD4">
      <w:pPr>
        <w:pStyle w:val="ListParagraph"/>
        <w:numPr>
          <w:ilvl w:val="0"/>
          <w:numId w:val="3"/>
        </w:numPr>
        <w:rPr>
          <w:i/>
          <w:color w:val="FF0000"/>
        </w:rPr>
      </w:pPr>
      <w:r w:rsidRPr="00300FD4">
        <w:rPr>
          <w:i/>
          <w:color w:val="FF0000"/>
        </w:rPr>
        <w:t>Background (Why is this measure important?)</w:t>
      </w:r>
    </w:p>
    <w:p w:rsidR="00296B16" w:rsidRPr="00296B16" w:rsidRDefault="00296B16" w:rsidP="00296B16">
      <w:pPr>
        <w:autoSpaceDE w:val="0"/>
        <w:autoSpaceDN w:val="0"/>
        <w:adjustRightInd w:val="0"/>
        <w:ind w:left="1080"/>
        <w:rPr>
          <w:rFonts w:cs="Arial"/>
          <w:color w:val="000000"/>
        </w:rPr>
      </w:pPr>
      <w:r w:rsidRPr="00296B16">
        <w:rPr>
          <w:rFonts w:cs="Arial"/>
          <w:color w:val="000000"/>
        </w:rPr>
        <w:t xml:space="preserve">There has been important evidence from clinical trials that further supports and broadens the merits of risk-reduction therapies for patients with established coronary and other atherosclerotic vascular disease, including peripheral arterial disease, atherosclerotic aortic disease, and carotid artery disease. </w:t>
      </w:r>
    </w:p>
    <w:p w:rsidR="00296B16" w:rsidRPr="00296B16" w:rsidRDefault="00296B16" w:rsidP="00296B16">
      <w:pPr>
        <w:autoSpaceDE w:val="0"/>
        <w:autoSpaceDN w:val="0"/>
        <w:adjustRightInd w:val="0"/>
        <w:ind w:left="1080"/>
        <w:rPr>
          <w:rFonts w:cs="Arial"/>
          <w:color w:val="000000"/>
        </w:rPr>
      </w:pPr>
      <w:r w:rsidRPr="00296B16">
        <w:rPr>
          <w:rFonts w:cs="Arial"/>
          <w:color w:val="000000"/>
        </w:rPr>
        <w:t>The American College of Cardiology (ACC) and the American Heart Association (AHA) recommends that high-intensity statin therapy should be initiated or continued as first-line therapy in women and men less than or equal to 75 years of age who have clinical atherosclerotic cardiovascular disease, unless contraindicated.</w:t>
      </w:r>
    </w:p>
    <w:p w:rsidR="00296B16" w:rsidRPr="00296B16" w:rsidRDefault="00296B16" w:rsidP="00296B16">
      <w:pPr>
        <w:autoSpaceDE w:val="0"/>
        <w:autoSpaceDN w:val="0"/>
        <w:adjustRightInd w:val="0"/>
        <w:ind w:left="1080"/>
        <w:rPr>
          <w:rFonts w:cs="Arial"/>
          <w:color w:val="000000"/>
        </w:rPr>
      </w:pPr>
      <w:r w:rsidRPr="00296B16">
        <w:rPr>
          <w:rFonts w:cs="Arial"/>
          <w:color w:val="000000"/>
        </w:rPr>
        <w:t>In November 2013, the ACC and AHA Task Force on Practice Guidelines released updated guidance for the treatment of blood cholesterol.  The new recommendations remove treatment targets for LDL-C for the primary or secondary prevention of atherosclerotic cardiovascular disease (ASCVD) and recommend high or moderate intensity statin therapy based on patient risk factors.  Four major statin benefit groups were identified for whom ASCVD risk clearly outweighs the risk of adverse events.  Individuals with ASCVD are one of the identified groups.</w:t>
      </w:r>
    </w:p>
    <w:p w:rsidR="00296B16" w:rsidRPr="00296B16" w:rsidRDefault="00296B16" w:rsidP="00296B16">
      <w:pPr>
        <w:autoSpaceDE w:val="0"/>
        <w:autoSpaceDN w:val="0"/>
        <w:adjustRightInd w:val="0"/>
        <w:ind w:left="1080"/>
        <w:rPr>
          <w:rFonts w:cs="Arial"/>
          <w:color w:val="000000"/>
        </w:rPr>
      </w:pPr>
      <w:r w:rsidRPr="00296B16">
        <w:rPr>
          <w:rFonts w:cs="Arial"/>
          <w:color w:val="000000"/>
        </w:rPr>
        <w:t>Based on trials involving other secondary prevention therapies, the ACC and AHA recommends aspirin in all patients, unless contraindicated, with established coronary and other atherosclerotic vascular disease, including peripheral arterial disease, atherosclerotic aortic disease, and carotid artery disease. The ACC and AHA also r</w:t>
      </w:r>
      <w:r>
        <w:rPr>
          <w:rFonts w:cs="Arial"/>
          <w:color w:val="000000"/>
        </w:rPr>
        <w:t>e</w:t>
      </w:r>
      <w:r w:rsidRPr="00296B16">
        <w:rPr>
          <w:rFonts w:cs="Arial"/>
          <w:color w:val="000000"/>
        </w:rPr>
        <w:t>commend the use of other antiplatelet agents based on disease type and clinical conditions.</w:t>
      </w:r>
    </w:p>
    <w:p w:rsidR="00296B16" w:rsidRDefault="00296B16" w:rsidP="00296B16">
      <w:pPr>
        <w:autoSpaceDE w:val="0"/>
        <w:autoSpaceDN w:val="0"/>
        <w:adjustRightInd w:val="0"/>
        <w:ind w:left="1080"/>
      </w:pPr>
      <w:r>
        <w:t>Patients with blood pressure greater than or equal to 140/90 mm Hg should be treated, as tolerated, with blood pressure medication, treating initially with beta blockers and/or ACE inhibitors, with addition of other drugs as needed to achieve goal blood pressure.</w:t>
      </w:r>
    </w:p>
    <w:p w:rsidR="00296B16" w:rsidRDefault="00296B16" w:rsidP="00296B16">
      <w:pPr>
        <w:autoSpaceDE w:val="0"/>
        <w:autoSpaceDN w:val="0"/>
        <w:adjustRightInd w:val="0"/>
        <w:ind w:left="1080"/>
        <w:rPr>
          <w:rFonts w:cs="Arial"/>
        </w:rPr>
      </w:pPr>
      <w:r w:rsidRPr="000E1FD8">
        <w:rPr>
          <w:rFonts w:cs="Arial"/>
        </w:rPr>
        <w:lastRenderedPageBreak/>
        <w:t xml:space="preserve">The </w:t>
      </w:r>
      <w:r>
        <w:rPr>
          <w:rFonts w:cs="Arial"/>
        </w:rPr>
        <w:t>ACC and AHA</w:t>
      </w:r>
      <w:r w:rsidRPr="000E1FD8">
        <w:rPr>
          <w:rFonts w:cs="Arial"/>
        </w:rPr>
        <w:t xml:space="preserve"> recommends secondary prevention for patients with Coronary and other Vascular Disease that includes strongly encouraging patient and family to stop smoking and to avoid secondhand smoke through the provision of counseling, pharmacological therapy and formal smoking cessation programs as appropriate.  The goal is for complete smoking cessation.</w:t>
      </w:r>
    </w:p>
    <w:tbl>
      <w:tblPr>
        <w:tblW w:w="0" w:type="auto"/>
        <w:tblBorders>
          <w:top w:val="nil"/>
          <w:left w:val="nil"/>
          <w:bottom w:val="nil"/>
          <w:right w:val="nil"/>
        </w:tblBorders>
        <w:tblLayout w:type="fixed"/>
        <w:tblLook w:val="0000" w:firstRow="0" w:lastRow="0" w:firstColumn="0" w:lastColumn="0" w:noHBand="0" w:noVBand="0"/>
      </w:tblPr>
      <w:tblGrid>
        <w:gridCol w:w="10774"/>
      </w:tblGrid>
      <w:tr w:rsidR="00296B16" w:rsidTr="00296B16">
        <w:trPr>
          <w:trHeight w:val="1198"/>
        </w:trPr>
        <w:tc>
          <w:tcPr>
            <w:tcW w:w="10774" w:type="dxa"/>
            <w:tcBorders>
              <w:top w:val="nil"/>
              <w:left w:val="nil"/>
              <w:right w:val="nil"/>
            </w:tcBorders>
          </w:tcPr>
          <w:p w:rsidR="00296B16" w:rsidRPr="00296B16" w:rsidRDefault="00296B16" w:rsidP="00296B16">
            <w:pPr>
              <w:pStyle w:val="Default"/>
              <w:ind w:left="1080"/>
              <w:rPr>
                <w:rFonts w:asciiTheme="minorHAnsi" w:hAnsiTheme="minorHAnsi" w:cstheme="minorHAnsi"/>
                <w:color w:val="auto"/>
                <w:sz w:val="22"/>
                <w:szCs w:val="22"/>
              </w:rPr>
            </w:pPr>
            <w:r w:rsidRPr="00296B16">
              <w:rPr>
                <w:rFonts w:asciiTheme="minorHAnsi" w:hAnsiTheme="minorHAnsi" w:cstheme="minorHAnsi"/>
                <w:color w:val="auto"/>
                <w:sz w:val="22"/>
                <w:szCs w:val="22"/>
              </w:rPr>
              <w:t>This measure is a composite of intermediate outcomes intended to assess whether patients with Ischemic Vascular Disease (IV</w:t>
            </w:r>
            <w:r>
              <w:rPr>
                <w:rFonts w:asciiTheme="minorHAnsi" w:hAnsiTheme="minorHAnsi" w:cstheme="minorHAnsi"/>
                <w:color w:val="auto"/>
                <w:sz w:val="22"/>
                <w:szCs w:val="22"/>
              </w:rPr>
              <w:t xml:space="preserve">D) are receiving optimal care. </w:t>
            </w:r>
            <w:r w:rsidRPr="00296B16">
              <w:rPr>
                <w:rFonts w:asciiTheme="minorHAnsi" w:hAnsiTheme="minorHAnsi" w:cstheme="minorHAnsi"/>
                <w:color w:val="auto"/>
                <w:sz w:val="22"/>
                <w:szCs w:val="22"/>
              </w:rPr>
              <w:t xml:space="preserve">The components of this measure are: </w:t>
            </w:r>
          </w:p>
          <w:p w:rsidR="00296B16" w:rsidRPr="00296B16" w:rsidRDefault="00296B16" w:rsidP="00296B16">
            <w:pPr>
              <w:pStyle w:val="Default"/>
              <w:ind w:left="1440"/>
              <w:rPr>
                <w:rFonts w:asciiTheme="minorHAnsi" w:hAnsiTheme="minorHAnsi" w:cstheme="minorHAnsi"/>
                <w:color w:val="auto"/>
                <w:sz w:val="22"/>
                <w:szCs w:val="22"/>
              </w:rPr>
            </w:pPr>
            <w:r w:rsidRPr="00296B16">
              <w:rPr>
                <w:rFonts w:asciiTheme="minorHAnsi" w:hAnsiTheme="minorHAnsi" w:cstheme="minorHAnsi"/>
                <w:color w:val="auto"/>
                <w:sz w:val="22"/>
                <w:szCs w:val="22"/>
              </w:rPr>
              <w:t xml:space="preserve">o Most recent blood pressure measurement is less than 140/90 mm Hg </w:t>
            </w:r>
          </w:p>
          <w:p w:rsidR="00296B16" w:rsidRPr="00296B16" w:rsidRDefault="00296B16" w:rsidP="00296B16">
            <w:pPr>
              <w:pStyle w:val="Default"/>
              <w:ind w:left="1440"/>
              <w:rPr>
                <w:rFonts w:asciiTheme="minorHAnsi" w:hAnsiTheme="minorHAnsi" w:cstheme="minorHAnsi"/>
                <w:color w:val="auto"/>
                <w:sz w:val="22"/>
                <w:szCs w:val="22"/>
              </w:rPr>
            </w:pPr>
            <w:r w:rsidRPr="00296B16">
              <w:rPr>
                <w:rFonts w:asciiTheme="minorHAnsi" w:hAnsiTheme="minorHAnsi" w:cstheme="minorHAnsi"/>
                <w:color w:val="auto"/>
                <w:sz w:val="22"/>
                <w:szCs w:val="22"/>
              </w:rPr>
              <w:t xml:space="preserve">o Most recent tobacco status is Tobacco Free </w:t>
            </w:r>
          </w:p>
          <w:p w:rsidR="00296B16" w:rsidRPr="00296B16" w:rsidRDefault="00296B16" w:rsidP="00296B16">
            <w:pPr>
              <w:pStyle w:val="Default"/>
              <w:ind w:left="1440"/>
              <w:rPr>
                <w:rFonts w:asciiTheme="minorHAnsi" w:hAnsiTheme="minorHAnsi" w:cstheme="minorHAnsi"/>
                <w:color w:val="auto"/>
                <w:sz w:val="22"/>
                <w:szCs w:val="22"/>
              </w:rPr>
            </w:pPr>
            <w:r w:rsidRPr="00296B16">
              <w:rPr>
                <w:rFonts w:asciiTheme="minorHAnsi" w:hAnsiTheme="minorHAnsi" w:cstheme="minorHAnsi"/>
                <w:color w:val="auto"/>
                <w:sz w:val="22"/>
                <w:szCs w:val="22"/>
              </w:rPr>
              <w:t xml:space="preserve">o Daily Aspirin or Other Antiplatelet Unless Contraindicated </w:t>
            </w:r>
          </w:p>
          <w:p w:rsidR="00296B16" w:rsidRPr="00296B16" w:rsidRDefault="00296B16" w:rsidP="00296B16">
            <w:pPr>
              <w:pStyle w:val="Default"/>
              <w:ind w:left="1440"/>
              <w:rPr>
                <w:rFonts w:asciiTheme="minorHAnsi" w:hAnsiTheme="minorHAnsi" w:cstheme="minorHAnsi"/>
                <w:color w:val="auto"/>
                <w:sz w:val="22"/>
                <w:szCs w:val="22"/>
              </w:rPr>
            </w:pPr>
            <w:r w:rsidRPr="00296B16">
              <w:rPr>
                <w:rFonts w:asciiTheme="minorHAnsi" w:hAnsiTheme="minorHAnsi" w:cstheme="minorHAnsi"/>
                <w:color w:val="auto"/>
                <w:sz w:val="22"/>
                <w:szCs w:val="22"/>
              </w:rPr>
              <w:t xml:space="preserve">o Statin Use </w:t>
            </w:r>
          </w:p>
          <w:p w:rsidR="00296B16" w:rsidRPr="00296B16" w:rsidRDefault="00296B16" w:rsidP="00296B16">
            <w:pPr>
              <w:pStyle w:val="Default"/>
              <w:ind w:left="1080"/>
              <w:rPr>
                <w:rFonts w:asciiTheme="minorHAnsi" w:hAnsiTheme="minorHAnsi" w:cstheme="minorHAnsi"/>
                <w:color w:val="auto"/>
                <w:sz w:val="22"/>
                <w:szCs w:val="22"/>
              </w:rPr>
            </w:pPr>
          </w:p>
        </w:tc>
      </w:tr>
      <w:tr w:rsidR="00296B16">
        <w:trPr>
          <w:trHeight w:val="1198"/>
        </w:trPr>
        <w:tc>
          <w:tcPr>
            <w:tcW w:w="10774" w:type="dxa"/>
          </w:tcPr>
          <w:p w:rsidR="00296B16" w:rsidRDefault="00296B16" w:rsidP="00296B16">
            <w:pPr>
              <w:pStyle w:val="Default"/>
              <w:ind w:left="1080"/>
              <w:rPr>
                <w:rFonts w:asciiTheme="minorHAnsi" w:hAnsiTheme="minorHAnsi" w:cstheme="minorHAnsi"/>
                <w:color w:val="auto"/>
                <w:sz w:val="22"/>
                <w:szCs w:val="22"/>
              </w:rPr>
            </w:pPr>
            <w:r w:rsidRPr="00296B16">
              <w:rPr>
                <w:rFonts w:asciiTheme="minorHAnsi" w:hAnsiTheme="minorHAnsi" w:cstheme="minorHAnsi"/>
                <w:color w:val="auto"/>
                <w:sz w:val="22"/>
                <w:szCs w:val="22"/>
              </w:rPr>
              <w:t xml:space="preserve">The All-Or-None method was chosen because of the benefits it provides to both the patient and the </w:t>
            </w:r>
            <w:r>
              <w:rPr>
                <w:rFonts w:asciiTheme="minorHAnsi" w:hAnsiTheme="minorHAnsi" w:cstheme="minorHAnsi"/>
                <w:color w:val="auto"/>
                <w:sz w:val="22"/>
                <w:szCs w:val="22"/>
              </w:rPr>
              <w:t xml:space="preserve">    </w:t>
            </w:r>
            <w:r w:rsidRPr="00296B16">
              <w:rPr>
                <w:rFonts w:asciiTheme="minorHAnsi" w:hAnsiTheme="minorHAnsi" w:cstheme="minorHAnsi"/>
                <w:color w:val="auto"/>
                <w:sz w:val="22"/>
                <w:szCs w:val="22"/>
              </w:rPr>
              <w:t xml:space="preserve">practitioner. First, this methodology more closely reflects the interests and likely desires of the patient. With the data collected in a composite score, patients can easily look and see how their provider group is performing on these criteria rather than trying to make sense of multiple scores on individual measures. Second, this method represents a systems perspective emphasizing the importance of optimal care through a patient’s entire healthcare experience. Third, this method gives a more sensitive scale for improvement. Whether reported at the organization, clinic site or provider level, for those scoring high marks on individual measures, the All-or-None measure will give room for benchmarks and additional improvements to be made. </w:t>
            </w:r>
          </w:p>
          <w:p w:rsidR="00296B16" w:rsidRPr="00296B16" w:rsidRDefault="00296B16" w:rsidP="00296B16">
            <w:pPr>
              <w:pStyle w:val="Default"/>
              <w:ind w:left="1080"/>
              <w:rPr>
                <w:rFonts w:asciiTheme="minorHAnsi" w:hAnsiTheme="minorHAnsi" w:cstheme="minorHAnsi"/>
                <w:color w:val="auto"/>
                <w:sz w:val="22"/>
                <w:szCs w:val="22"/>
              </w:rPr>
            </w:pPr>
          </w:p>
          <w:p w:rsidR="00296B16" w:rsidRDefault="00296B16" w:rsidP="00296B16">
            <w:pPr>
              <w:pStyle w:val="Default"/>
              <w:ind w:left="1080"/>
              <w:rPr>
                <w:color w:val="auto"/>
                <w:sz w:val="20"/>
                <w:szCs w:val="20"/>
              </w:rPr>
            </w:pPr>
            <w:r w:rsidRPr="00296B16">
              <w:rPr>
                <w:rFonts w:asciiTheme="minorHAnsi" w:hAnsiTheme="minorHAnsi" w:cstheme="minorHAnsi"/>
                <w:color w:val="auto"/>
                <w:sz w:val="22"/>
                <w:szCs w:val="22"/>
              </w:rPr>
              <w:t>Support for All-or-None measurement referenced by Nolan T, Berwick DM. All-or-None Measurement Raises the Bar on Performance. JAMA. 2006 Mar 8</w:t>
            </w:r>
            <w:proofErr w:type="gramStart"/>
            <w:r w:rsidRPr="00296B16">
              <w:rPr>
                <w:rFonts w:asciiTheme="minorHAnsi" w:hAnsiTheme="minorHAnsi" w:cstheme="minorHAnsi"/>
                <w:color w:val="auto"/>
                <w:sz w:val="22"/>
                <w:szCs w:val="22"/>
              </w:rPr>
              <w:t>;295</w:t>
            </w:r>
            <w:proofErr w:type="gramEnd"/>
            <w:r w:rsidRPr="00296B16">
              <w:rPr>
                <w:rFonts w:asciiTheme="minorHAnsi" w:hAnsiTheme="minorHAnsi" w:cstheme="minorHAnsi"/>
                <w:color w:val="auto"/>
                <w:sz w:val="22"/>
                <w:szCs w:val="22"/>
              </w:rPr>
              <w:t>(10):1168-70.</w:t>
            </w:r>
            <w:r w:rsidRPr="00296B16">
              <w:rPr>
                <w:color w:val="auto"/>
                <w:sz w:val="20"/>
                <w:szCs w:val="20"/>
              </w:rPr>
              <w:t xml:space="preserve"> </w:t>
            </w:r>
          </w:p>
          <w:p w:rsidR="00296B16" w:rsidRDefault="00296B16" w:rsidP="00296B16">
            <w:pPr>
              <w:pStyle w:val="Default"/>
              <w:ind w:left="1080"/>
              <w:rPr>
                <w:color w:val="0000FF"/>
                <w:sz w:val="20"/>
                <w:szCs w:val="20"/>
              </w:rPr>
            </w:pPr>
          </w:p>
        </w:tc>
      </w:tr>
    </w:tbl>
    <w:p w:rsidR="00300FD4" w:rsidRPr="00300FD4" w:rsidRDefault="00300FD4" w:rsidP="00300FD4">
      <w:pPr>
        <w:pStyle w:val="ListParagraph"/>
        <w:numPr>
          <w:ilvl w:val="0"/>
          <w:numId w:val="3"/>
        </w:numPr>
        <w:rPr>
          <w:color w:val="FF0000"/>
        </w:rPr>
      </w:pPr>
      <w:r w:rsidRPr="00300FD4">
        <w:rPr>
          <w:i/>
          <w:color w:val="FF0000"/>
        </w:rPr>
        <w:t>Environmental Scan (Are there existing measures in this area?)</w:t>
      </w:r>
    </w:p>
    <w:p w:rsidR="00FD1C72" w:rsidRDefault="00FD1C72" w:rsidP="00FD1C72">
      <w:pPr>
        <w:pStyle w:val="ListParagraph"/>
        <w:spacing w:line="240" w:lineRule="auto"/>
        <w:ind w:left="1080"/>
      </w:pPr>
      <w:r>
        <w:t xml:space="preserve">There is no competing current PQRS measure for </w:t>
      </w:r>
      <w:r w:rsidRPr="00FD1C72">
        <w:t>MUC15-275</w:t>
      </w:r>
      <w:r>
        <w:t>.  The measures below have related components, however, are not composite measures.</w:t>
      </w:r>
    </w:p>
    <w:p w:rsidR="00FD1C72" w:rsidRDefault="00FD1C72" w:rsidP="00FD1C72">
      <w:pPr>
        <w:pStyle w:val="ListParagraph"/>
        <w:spacing w:line="240" w:lineRule="auto"/>
        <w:ind w:left="1080"/>
      </w:pPr>
    </w:p>
    <w:p w:rsidR="00300FD4" w:rsidRDefault="00FD1C72" w:rsidP="00FD1C72">
      <w:pPr>
        <w:pStyle w:val="ListParagraph"/>
        <w:spacing w:line="240" w:lineRule="auto"/>
        <w:ind w:left="1080"/>
      </w:pPr>
      <w:r>
        <w:t>164v4/204:  Ischemic Vascular Disease-Use of Aspirin or Other Antithrombotic</w:t>
      </w:r>
    </w:p>
    <w:p w:rsidR="00FD1C72" w:rsidRDefault="00FD1C72" w:rsidP="00FD1C72">
      <w:pPr>
        <w:pStyle w:val="ListParagraph"/>
        <w:spacing w:line="240" w:lineRule="auto"/>
        <w:ind w:left="1080"/>
      </w:pPr>
      <w:r>
        <w:t xml:space="preserve">438:  </w:t>
      </w:r>
      <w:r w:rsidRPr="00FD1C72">
        <w:t>Statin Therapy for the Prevention and Treatment of Cardiovascular Disease</w:t>
      </w:r>
    </w:p>
    <w:p w:rsidR="00FD1C72" w:rsidRPr="00300FD4" w:rsidRDefault="00FD1C72" w:rsidP="00FD1C72">
      <w:pPr>
        <w:pStyle w:val="ListParagraph"/>
        <w:spacing w:line="240" w:lineRule="auto"/>
        <w:ind w:left="1080"/>
      </w:pPr>
    </w:p>
    <w:p w:rsidR="00300FD4" w:rsidRPr="00300FD4" w:rsidRDefault="00300FD4" w:rsidP="00300FD4">
      <w:pPr>
        <w:pStyle w:val="ListParagraph"/>
        <w:numPr>
          <w:ilvl w:val="0"/>
          <w:numId w:val="1"/>
        </w:numPr>
        <w:rPr>
          <w:b/>
        </w:rPr>
      </w:pPr>
      <w:r w:rsidRPr="00300FD4">
        <w:rPr>
          <w:b/>
        </w:rPr>
        <w:t xml:space="preserve">Gap Analysis </w:t>
      </w:r>
    </w:p>
    <w:p w:rsidR="00300FD4" w:rsidRDefault="00300FD4" w:rsidP="00300FD4">
      <w:pPr>
        <w:pStyle w:val="ListParagraph"/>
        <w:numPr>
          <w:ilvl w:val="0"/>
          <w:numId w:val="2"/>
        </w:numPr>
        <w:rPr>
          <w:i/>
          <w:color w:val="FF0000"/>
        </w:rPr>
      </w:pPr>
      <w:r w:rsidRPr="00300FD4">
        <w:rPr>
          <w:i/>
          <w:color w:val="FF0000"/>
        </w:rPr>
        <w:t>Evidence for Measure (What are the gaps and opportunities to improve care?)</w:t>
      </w:r>
    </w:p>
    <w:p w:rsidR="00063275" w:rsidRDefault="00063275" w:rsidP="00063275">
      <w:pPr>
        <w:autoSpaceDE w:val="0"/>
        <w:autoSpaceDN w:val="0"/>
        <w:adjustRightInd w:val="0"/>
        <w:spacing w:after="0" w:line="240" w:lineRule="auto"/>
        <w:ind w:left="1080"/>
        <w:rPr>
          <w:rFonts w:ascii="Calibri" w:hAnsi="Calibri" w:cs="Calibri"/>
          <w:color w:val="000000"/>
          <w:sz w:val="24"/>
          <w:szCs w:val="24"/>
        </w:rPr>
      </w:pPr>
      <w:r>
        <w:rPr>
          <w:rFonts w:ascii="Calibri" w:hAnsi="Calibri" w:cs="Calibri"/>
          <w:color w:val="000000"/>
          <w:sz w:val="24"/>
          <w:szCs w:val="24"/>
        </w:rPr>
        <w:t>The measure addresses a gap in care and demonstrates a</w:t>
      </w:r>
      <w:r w:rsidRPr="00063275">
        <w:rPr>
          <w:rFonts w:ascii="Calibri" w:hAnsi="Calibri" w:cs="Calibri"/>
          <w:color w:val="000000"/>
          <w:sz w:val="24"/>
          <w:szCs w:val="24"/>
        </w:rPr>
        <w:t xml:space="preserve"> high priority aspect of healthcare</w:t>
      </w:r>
      <w:r>
        <w:rPr>
          <w:rFonts w:ascii="Calibri" w:hAnsi="Calibri" w:cs="Calibri"/>
          <w:color w:val="000000"/>
          <w:sz w:val="24"/>
          <w:szCs w:val="24"/>
        </w:rPr>
        <w:t>.  It affects large numbers of the population and is a leading cause of morbidity/mortality.  It is a high resource use and severity of illness.</w:t>
      </w:r>
      <w:r w:rsidRPr="00063275">
        <w:rPr>
          <w:rFonts w:ascii="Calibri" w:hAnsi="Calibri" w:cs="Calibri"/>
          <w:color w:val="000000"/>
          <w:sz w:val="24"/>
          <w:szCs w:val="24"/>
        </w:rPr>
        <w:t xml:space="preserve"> </w:t>
      </w:r>
    </w:p>
    <w:p w:rsidR="00063275" w:rsidRDefault="00063275" w:rsidP="00063275">
      <w:pPr>
        <w:autoSpaceDE w:val="0"/>
        <w:autoSpaceDN w:val="0"/>
        <w:adjustRightInd w:val="0"/>
        <w:spacing w:after="0" w:line="240" w:lineRule="auto"/>
        <w:ind w:left="1080"/>
        <w:rPr>
          <w:rFonts w:ascii="Calibri" w:hAnsi="Calibri" w:cs="Calibri"/>
          <w:color w:val="000000"/>
          <w:sz w:val="24"/>
          <w:szCs w:val="24"/>
        </w:rPr>
      </w:pPr>
    </w:p>
    <w:p w:rsidR="00063275" w:rsidRPr="00063275" w:rsidRDefault="00063275" w:rsidP="00063275">
      <w:pPr>
        <w:autoSpaceDE w:val="0"/>
        <w:autoSpaceDN w:val="0"/>
        <w:adjustRightInd w:val="0"/>
        <w:spacing w:after="0" w:line="240" w:lineRule="auto"/>
        <w:ind w:left="1080"/>
        <w:rPr>
          <w:rFonts w:cstheme="minorHAnsi"/>
          <w:color w:val="0000FF"/>
        </w:rPr>
      </w:pPr>
      <w:r w:rsidRPr="00063275">
        <w:rPr>
          <w:rFonts w:cstheme="minorHAnsi"/>
        </w:rPr>
        <w:t>The Wisconsin Department of Health Services publication "The Epidemic of Chronic Disease in Wisconsin" indicates that heart disease is one of the leading causes of mortality in the state of Wisconsin ranking with Cancer at 24%. It is also the 4th highest annual Medicaid cost out of six chronic disease.</w:t>
      </w:r>
      <w:r w:rsidRPr="00063275">
        <w:rPr>
          <w:rFonts w:cstheme="minorHAnsi"/>
          <w:color w:val="0000FF"/>
        </w:rPr>
        <w:t xml:space="preserve"> </w:t>
      </w:r>
    </w:p>
    <w:p w:rsidR="00063275" w:rsidRPr="00063275" w:rsidRDefault="00063275" w:rsidP="00063275">
      <w:pPr>
        <w:autoSpaceDE w:val="0"/>
        <w:autoSpaceDN w:val="0"/>
        <w:adjustRightInd w:val="0"/>
        <w:spacing w:after="0" w:line="240" w:lineRule="auto"/>
        <w:ind w:left="1080"/>
        <w:rPr>
          <w:rFonts w:ascii="Calibri" w:hAnsi="Calibri" w:cs="Calibri"/>
          <w:color w:val="0000FF"/>
          <w:sz w:val="20"/>
          <w:szCs w:val="20"/>
        </w:rPr>
      </w:pPr>
    </w:p>
    <w:p w:rsidR="00063275" w:rsidRPr="00063275" w:rsidRDefault="00063275" w:rsidP="00063275">
      <w:pPr>
        <w:pStyle w:val="Default"/>
        <w:ind w:left="1080"/>
        <w:rPr>
          <w:color w:val="auto"/>
          <w:sz w:val="22"/>
          <w:szCs w:val="22"/>
        </w:rPr>
      </w:pPr>
      <w:r w:rsidRPr="00063275">
        <w:rPr>
          <w:color w:val="auto"/>
          <w:sz w:val="22"/>
          <w:szCs w:val="22"/>
        </w:rPr>
        <w:t xml:space="preserve">Prevention of Chronic Diseases is Powerful and Cost-effective. Given the huge economic impact of chronic diseases it is not surprising that their prevention yields a remarkable return on investment (ROI), as documented by the Trust for America’s Health (2008). In Wisconsin, adequately funded community-based programs that address insufficient physical activity, unhealthy diet, and tobacco use would yield a return of $6.20 for every $1 spent over the course of five years, with a potential annual savings of $338 million. Remarkably, even such a substantial return can be considered an underestimate since it does not include gains in worker productivity, reduced absenteeism at work and school, and enhanced quality of life. Despite these convincing numbers, the vast majority of health care spending </w:t>
      </w:r>
    </w:p>
    <w:p w:rsidR="00063275" w:rsidRPr="00063275" w:rsidRDefault="00063275" w:rsidP="00063275">
      <w:pPr>
        <w:autoSpaceDE w:val="0"/>
        <w:autoSpaceDN w:val="0"/>
        <w:adjustRightInd w:val="0"/>
        <w:spacing w:after="0" w:line="240" w:lineRule="auto"/>
        <w:ind w:left="1080"/>
        <w:rPr>
          <w:rFonts w:ascii="Calibri" w:hAnsi="Calibri" w:cs="Calibri"/>
        </w:rPr>
      </w:pPr>
      <w:proofErr w:type="gramStart"/>
      <w:r w:rsidRPr="00063275">
        <w:rPr>
          <w:rFonts w:ascii="Calibri" w:hAnsi="Calibri" w:cs="Calibri"/>
        </w:rPr>
        <w:t>in</w:t>
      </w:r>
      <w:proofErr w:type="gramEnd"/>
      <w:r w:rsidRPr="00063275">
        <w:rPr>
          <w:rFonts w:ascii="Calibri" w:hAnsi="Calibri" w:cs="Calibri"/>
        </w:rPr>
        <w:t xml:space="preserve"> the United States, as much as 95 percent, is directed toward medical care and biomedical research and not on prevention (Institute of Medicine, 2003). </w:t>
      </w:r>
    </w:p>
    <w:p w:rsidR="00063275" w:rsidRPr="00063275" w:rsidRDefault="00063275" w:rsidP="00063275">
      <w:pPr>
        <w:autoSpaceDE w:val="0"/>
        <w:autoSpaceDN w:val="0"/>
        <w:adjustRightInd w:val="0"/>
        <w:spacing w:after="0" w:line="240" w:lineRule="auto"/>
        <w:ind w:left="1080"/>
        <w:rPr>
          <w:rFonts w:ascii="Calibri" w:hAnsi="Calibri" w:cs="Calibri"/>
        </w:rPr>
      </w:pPr>
    </w:p>
    <w:p w:rsidR="00063275" w:rsidRPr="00063275" w:rsidRDefault="00063275" w:rsidP="00063275">
      <w:pPr>
        <w:autoSpaceDE w:val="0"/>
        <w:autoSpaceDN w:val="0"/>
        <w:adjustRightInd w:val="0"/>
        <w:spacing w:after="0" w:line="240" w:lineRule="auto"/>
        <w:ind w:left="1080"/>
        <w:rPr>
          <w:rFonts w:ascii="Calibri" w:hAnsi="Calibri" w:cs="Calibri"/>
        </w:rPr>
      </w:pPr>
      <w:r w:rsidRPr="00063275">
        <w:rPr>
          <w:rFonts w:ascii="Calibri" w:hAnsi="Calibri" w:cs="Calibri"/>
        </w:rPr>
        <w:t>The recent passage of national health care reform (The Patient Protection and Affordable Care Act) however, focuses on the importance of prevention as a means to reduce future health care costs. Promoting healthy environments in communities is smart policy, because they enable community residents to live healthier lives. Studies increasingly suggest that businesses are also likely to benefit. For example, relatively low-cost environmental changes in the workplace that resulted in a 5% weight loss for overweight or obese employees would reduce annual medical/absenteeism costs by about $90 per person (</w:t>
      </w:r>
      <w:proofErr w:type="spellStart"/>
      <w:r w:rsidRPr="00063275">
        <w:rPr>
          <w:rFonts w:ascii="Calibri" w:hAnsi="Calibri" w:cs="Calibri"/>
        </w:rPr>
        <w:t>Trogdon</w:t>
      </w:r>
      <w:proofErr w:type="spellEnd"/>
      <w:r w:rsidRPr="00063275">
        <w:rPr>
          <w:rFonts w:ascii="Calibri" w:hAnsi="Calibri" w:cs="Calibri"/>
        </w:rPr>
        <w:t xml:space="preserve">, et al., 2009). </w:t>
      </w:r>
    </w:p>
    <w:p w:rsidR="00063275" w:rsidRPr="00063275" w:rsidRDefault="00063275" w:rsidP="00063275">
      <w:pPr>
        <w:autoSpaceDE w:val="0"/>
        <w:autoSpaceDN w:val="0"/>
        <w:adjustRightInd w:val="0"/>
        <w:spacing w:after="0" w:line="240" w:lineRule="auto"/>
        <w:ind w:left="1080"/>
        <w:rPr>
          <w:rFonts w:ascii="Calibri" w:hAnsi="Calibri" w:cs="Calibri"/>
        </w:rPr>
      </w:pPr>
    </w:p>
    <w:p w:rsidR="00063275" w:rsidRDefault="00063275" w:rsidP="00063275">
      <w:pPr>
        <w:autoSpaceDE w:val="0"/>
        <w:autoSpaceDN w:val="0"/>
        <w:adjustRightInd w:val="0"/>
        <w:spacing w:after="0" w:line="240" w:lineRule="auto"/>
        <w:ind w:left="1080"/>
        <w:rPr>
          <w:rFonts w:ascii="Calibri" w:hAnsi="Calibri" w:cs="Calibri"/>
        </w:rPr>
      </w:pPr>
      <w:r w:rsidRPr="00063275">
        <w:rPr>
          <w:rFonts w:ascii="Calibri" w:hAnsi="Calibri" w:cs="Calibri"/>
        </w:rPr>
        <w:t xml:space="preserve">Additionally a second publication titled "Wisconsin Heart Disease and Stroke Surveillance Summary Update" January 2007 by the Wisconsin Cardiovascular Health Program, the Wisconsin Department of Health and Family Services, the Division of Public Health and the Bureau of Community Health Promotion indicates that cardiovascular disease (CVD) is the leading cause of death and disability in the United States and in the state of Wisconsin. In 2004 there were 96,000 hospitalizations due to cardiovascular related illness in Wisconsin resulting in over 2.5 billion in associated charges. Death and disability from CVD can be reduced by modifiable risk factors such as quitting smoking and lowering Blood Pressure, both component measures in this all or none measure. </w:t>
      </w:r>
    </w:p>
    <w:p w:rsidR="00063275" w:rsidRPr="00063275" w:rsidRDefault="00063275" w:rsidP="00063275">
      <w:pPr>
        <w:autoSpaceDE w:val="0"/>
        <w:autoSpaceDN w:val="0"/>
        <w:adjustRightInd w:val="0"/>
        <w:spacing w:after="0" w:line="240" w:lineRule="auto"/>
        <w:ind w:left="1080"/>
        <w:rPr>
          <w:rFonts w:ascii="Calibri" w:hAnsi="Calibri" w:cs="Calibri"/>
        </w:rPr>
      </w:pPr>
    </w:p>
    <w:p w:rsidR="00FD1C72" w:rsidRDefault="002547C1" w:rsidP="00063275">
      <w:pPr>
        <w:autoSpaceDE w:val="0"/>
        <w:autoSpaceDN w:val="0"/>
        <w:adjustRightInd w:val="0"/>
        <w:spacing w:after="0" w:line="240" w:lineRule="auto"/>
        <w:ind w:left="1080"/>
        <w:rPr>
          <w:rFonts w:ascii="Calibri" w:hAnsi="Calibri" w:cs="Calibri"/>
        </w:rPr>
      </w:pPr>
      <w:r>
        <w:rPr>
          <w:rFonts w:ascii="Calibri" w:hAnsi="Calibri" w:cs="Calibri"/>
          <w:color w:val="000000"/>
          <w:sz w:val="24"/>
          <w:szCs w:val="24"/>
        </w:rPr>
        <w:t>WCHQ (measure developer)</w:t>
      </w:r>
      <w:r w:rsidR="00FD1C72" w:rsidRPr="00FD1C72">
        <w:rPr>
          <w:rFonts w:ascii="Calibri" w:hAnsi="Calibri" w:cs="Calibri"/>
          <w:color w:val="000000"/>
          <w:sz w:val="24"/>
          <w:szCs w:val="24"/>
        </w:rPr>
        <w:t xml:space="preserve"> </w:t>
      </w:r>
      <w:r w:rsidR="00FD1C72" w:rsidRPr="00FD1C72">
        <w:rPr>
          <w:rFonts w:ascii="Calibri" w:hAnsi="Calibri" w:cs="Calibri"/>
        </w:rPr>
        <w:t xml:space="preserve">presents 2014 performance data for 121 clinics, covering a total of 42,290 patients. </w:t>
      </w:r>
    </w:p>
    <w:p w:rsidR="002547C1" w:rsidRPr="00FD1C72" w:rsidRDefault="002547C1" w:rsidP="00063275">
      <w:pPr>
        <w:autoSpaceDE w:val="0"/>
        <w:autoSpaceDN w:val="0"/>
        <w:adjustRightInd w:val="0"/>
        <w:spacing w:after="0" w:line="240" w:lineRule="auto"/>
        <w:ind w:left="1080"/>
        <w:rPr>
          <w:rFonts w:ascii="Calibri" w:hAnsi="Calibri" w:cs="Calibri"/>
          <w:color w:val="000000"/>
          <w:u w:val="single"/>
        </w:rPr>
      </w:pPr>
      <w:r w:rsidRPr="002547C1">
        <w:rPr>
          <w:rFonts w:ascii="Calibri" w:hAnsi="Calibri" w:cs="Calibri"/>
          <w:color w:val="000000"/>
          <w:sz w:val="24"/>
          <w:szCs w:val="24"/>
          <w:u w:val="single"/>
        </w:rPr>
        <w:t>Summary:</w:t>
      </w:r>
    </w:p>
    <w:p w:rsidR="00FD1C72" w:rsidRPr="00063275" w:rsidRDefault="00FD1C72" w:rsidP="00063275">
      <w:pPr>
        <w:pStyle w:val="ListParagraph"/>
        <w:numPr>
          <w:ilvl w:val="0"/>
          <w:numId w:val="2"/>
        </w:numPr>
        <w:autoSpaceDE w:val="0"/>
        <w:autoSpaceDN w:val="0"/>
        <w:adjustRightInd w:val="0"/>
        <w:spacing w:after="0" w:line="240" w:lineRule="auto"/>
        <w:rPr>
          <w:rFonts w:ascii="Calibri" w:hAnsi="Calibri" w:cs="Calibri"/>
          <w:color w:val="000000"/>
        </w:rPr>
      </w:pPr>
      <w:r w:rsidRPr="00063275">
        <w:rPr>
          <w:rFonts w:ascii="Calibri" w:hAnsi="Calibri" w:cs="Calibri"/>
          <w:color w:val="000000"/>
        </w:rPr>
        <w:t xml:space="preserve">Average clinic performance on the measure was .5862 (meaning that on average, clinics achieved all four goals for approximately 59 percent of eligible patients). </w:t>
      </w:r>
    </w:p>
    <w:p w:rsidR="00FD1C72" w:rsidRPr="00063275" w:rsidRDefault="00FD1C72" w:rsidP="00063275">
      <w:pPr>
        <w:pStyle w:val="ListParagraph"/>
        <w:numPr>
          <w:ilvl w:val="0"/>
          <w:numId w:val="2"/>
        </w:numPr>
        <w:autoSpaceDE w:val="0"/>
        <w:autoSpaceDN w:val="0"/>
        <w:adjustRightInd w:val="0"/>
        <w:spacing w:after="0" w:line="240" w:lineRule="auto"/>
        <w:rPr>
          <w:rFonts w:ascii="Calibri" w:hAnsi="Calibri" w:cs="Calibri"/>
          <w:color w:val="000000"/>
        </w:rPr>
      </w:pPr>
      <w:r w:rsidRPr="00063275">
        <w:rPr>
          <w:rFonts w:ascii="Calibri" w:hAnsi="Calibri" w:cs="Calibri"/>
          <w:color w:val="000000"/>
        </w:rPr>
        <w:t>Scores ranged from a minimum of .379 to a maximum of .750, with the 10</w:t>
      </w:r>
      <w:r w:rsidRPr="00063275">
        <w:rPr>
          <w:rFonts w:ascii="Calibri" w:hAnsi="Calibri" w:cs="Calibri"/>
          <w:color w:val="000000"/>
          <w:sz w:val="14"/>
          <w:szCs w:val="14"/>
        </w:rPr>
        <w:t xml:space="preserve">th </w:t>
      </w:r>
      <w:r w:rsidRPr="00063275">
        <w:rPr>
          <w:rFonts w:ascii="Calibri" w:hAnsi="Calibri" w:cs="Calibri"/>
          <w:color w:val="000000"/>
        </w:rPr>
        <w:t>percentile at .485 and the 90</w:t>
      </w:r>
      <w:r w:rsidRPr="00063275">
        <w:rPr>
          <w:rFonts w:ascii="Calibri" w:hAnsi="Calibri" w:cs="Calibri"/>
          <w:color w:val="000000"/>
          <w:sz w:val="14"/>
          <w:szCs w:val="14"/>
        </w:rPr>
        <w:t xml:space="preserve">th </w:t>
      </w:r>
      <w:r w:rsidRPr="00063275">
        <w:rPr>
          <w:rFonts w:ascii="Calibri" w:hAnsi="Calibri" w:cs="Calibri"/>
          <w:color w:val="000000"/>
        </w:rPr>
        <w:t xml:space="preserve">percentile at .672. </w:t>
      </w:r>
    </w:p>
    <w:p w:rsidR="00FD1C72" w:rsidRDefault="002547C1" w:rsidP="00063275">
      <w:pPr>
        <w:pStyle w:val="ListParagraph"/>
        <w:numPr>
          <w:ilvl w:val="0"/>
          <w:numId w:val="2"/>
        </w:numPr>
        <w:autoSpaceDE w:val="0"/>
        <w:autoSpaceDN w:val="0"/>
        <w:adjustRightInd w:val="0"/>
        <w:spacing w:after="0" w:line="240" w:lineRule="auto"/>
        <w:rPr>
          <w:rFonts w:ascii="Calibri" w:hAnsi="Calibri" w:cs="Calibri"/>
          <w:color w:val="000000"/>
        </w:rPr>
      </w:pPr>
      <w:r>
        <w:rPr>
          <w:rFonts w:ascii="Calibri" w:hAnsi="Calibri" w:cs="Calibri"/>
          <w:color w:val="000000"/>
        </w:rPr>
        <w:t>WCHQ does not</w:t>
      </w:r>
      <w:r>
        <w:rPr>
          <w:rFonts w:ascii="Calibri" w:hAnsi="Calibri" w:cs="Calibri"/>
        </w:rPr>
        <w:t xml:space="preserve"> currently report</w:t>
      </w:r>
      <w:r w:rsidR="00FD1C72" w:rsidRPr="00063275">
        <w:rPr>
          <w:rFonts w:ascii="Calibri" w:hAnsi="Calibri" w:cs="Calibri"/>
        </w:rPr>
        <w:t xml:space="preserve"> with disparities data, </w:t>
      </w:r>
      <w:r w:rsidR="00FD1C72" w:rsidRPr="00063275">
        <w:rPr>
          <w:rFonts w:ascii="Calibri" w:hAnsi="Calibri" w:cs="Calibri"/>
          <w:color w:val="000000"/>
        </w:rPr>
        <w:t>but some data related to socio</w:t>
      </w:r>
      <w:r w:rsidR="00063275">
        <w:rPr>
          <w:rFonts w:ascii="Calibri" w:hAnsi="Calibri" w:cs="Calibri"/>
          <w:color w:val="000000"/>
        </w:rPr>
        <w:t>-</w:t>
      </w:r>
      <w:r w:rsidR="00063275" w:rsidRPr="00063275">
        <w:rPr>
          <w:rFonts w:ascii="Calibri" w:hAnsi="Calibri" w:cs="Calibri"/>
          <w:color w:val="000000"/>
        </w:rPr>
        <w:t xml:space="preserve">demographic </w:t>
      </w:r>
      <w:r w:rsidR="00063275">
        <w:rPr>
          <w:rFonts w:ascii="Calibri" w:hAnsi="Calibri" w:cs="Calibri"/>
          <w:color w:val="000000"/>
        </w:rPr>
        <w:t>factors</w:t>
      </w:r>
      <w:r w:rsidR="00FD1C72" w:rsidRPr="00063275">
        <w:rPr>
          <w:rFonts w:ascii="Calibri" w:hAnsi="Calibri" w:cs="Calibri"/>
          <w:color w:val="000000"/>
        </w:rPr>
        <w:t xml:space="preserve"> (e.g., race/ethnicity data, payer data, gender, and age) are collected and could potentially be incorporated in the future. </w:t>
      </w:r>
    </w:p>
    <w:p w:rsidR="002547C1" w:rsidRDefault="002547C1" w:rsidP="002547C1">
      <w:pPr>
        <w:autoSpaceDE w:val="0"/>
        <w:autoSpaceDN w:val="0"/>
        <w:adjustRightInd w:val="0"/>
        <w:spacing w:after="0" w:line="240" w:lineRule="auto"/>
        <w:ind w:left="1080"/>
        <w:rPr>
          <w:rFonts w:ascii="Calibri" w:hAnsi="Calibri" w:cs="Calibri"/>
          <w:color w:val="000000"/>
        </w:rPr>
      </w:pPr>
    </w:p>
    <w:p w:rsidR="002547C1" w:rsidRPr="002547C1" w:rsidRDefault="002547C1" w:rsidP="002547C1">
      <w:pPr>
        <w:autoSpaceDE w:val="0"/>
        <w:autoSpaceDN w:val="0"/>
        <w:adjustRightInd w:val="0"/>
        <w:spacing w:after="0" w:line="240" w:lineRule="auto"/>
        <w:ind w:left="1080"/>
        <w:rPr>
          <w:rFonts w:ascii="Calibri" w:hAnsi="Calibri" w:cs="Calibri"/>
          <w:color w:val="000000"/>
          <w:u w:val="single"/>
        </w:rPr>
      </w:pPr>
      <w:r w:rsidRPr="002547C1">
        <w:rPr>
          <w:rFonts w:ascii="Calibri" w:hAnsi="Calibri" w:cs="Calibri"/>
          <w:color w:val="000000"/>
          <w:u w:val="single"/>
        </w:rPr>
        <w:t>Data Analysis:</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Level of Analysis: Clinic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Number of Clinics: 121 </w:t>
      </w:r>
    </w:p>
    <w:p w:rsidR="002547C1" w:rsidRPr="002547C1" w:rsidRDefault="002547C1" w:rsidP="002547C1">
      <w:pPr>
        <w:autoSpaceDE w:val="0"/>
        <w:autoSpaceDN w:val="0"/>
        <w:adjustRightInd w:val="0"/>
        <w:spacing w:after="0" w:line="240" w:lineRule="auto"/>
        <w:ind w:left="2160"/>
        <w:rPr>
          <w:rFonts w:ascii="Calibri" w:hAnsi="Calibri" w:cs="Calibri"/>
        </w:rPr>
      </w:pPr>
      <w:r w:rsidRPr="002547C1">
        <w:rPr>
          <w:rFonts w:ascii="Calibri" w:hAnsi="Calibri" w:cs="Calibri"/>
        </w:rPr>
        <w:t xml:space="preserve">Minimum Number of Patients/Clinic: 100 </w:t>
      </w:r>
    </w:p>
    <w:p w:rsidR="002547C1" w:rsidRPr="002547C1" w:rsidRDefault="002547C1" w:rsidP="002547C1">
      <w:pPr>
        <w:autoSpaceDE w:val="0"/>
        <w:autoSpaceDN w:val="0"/>
        <w:adjustRightInd w:val="0"/>
        <w:spacing w:after="0" w:line="240" w:lineRule="auto"/>
        <w:ind w:left="2160"/>
        <w:rPr>
          <w:rFonts w:ascii="Calibri" w:hAnsi="Calibri" w:cs="Calibri"/>
        </w:rPr>
      </w:pPr>
      <w:r w:rsidRPr="002547C1">
        <w:rPr>
          <w:rFonts w:ascii="Calibri" w:hAnsi="Calibri" w:cs="Calibri"/>
        </w:rPr>
        <w:t xml:space="preserve">Minimum Number of Providers/Clinic: 3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Number of Patients: 42,290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Number of Medical Groups Represented: 14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Measurement Period: January 1, 2014 –December 31, 2014 </w:t>
      </w:r>
    </w:p>
    <w:p w:rsidR="002547C1" w:rsidRPr="002547C1" w:rsidRDefault="002547C1" w:rsidP="002547C1">
      <w:pPr>
        <w:autoSpaceDE w:val="0"/>
        <w:autoSpaceDN w:val="0"/>
        <w:adjustRightInd w:val="0"/>
        <w:spacing w:after="0" w:line="240" w:lineRule="auto"/>
        <w:ind w:left="1440"/>
        <w:rPr>
          <w:rFonts w:ascii="Calibri" w:hAnsi="Calibri" w:cs="Calibri"/>
        </w:rPr>
      </w:pP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Summary Statistics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Mean: .5862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Median: .5868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Standard Deviation: 0.0712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Min: .379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Max: .750 </w:t>
      </w:r>
    </w:p>
    <w:p w:rsidR="002547C1" w:rsidRPr="002547C1" w:rsidRDefault="002547C1" w:rsidP="002547C1">
      <w:pPr>
        <w:autoSpaceDE w:val="0"/>
        <w:autoSpaceDN w:val="0"/>
        <w:adjustRightInd w:val="0"/>
        <w:spacing w:after="0" w:line="240" w:lineRule="auto"/>
        <w:ind w:left="1440"/>
        <w:rPr>
          <w:rFonts w:ascii="Calibri" w:hAnsi="Calibri" w:cs="Calibri"/>
        </w:rPr>
      </w:pP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Percentile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Min .379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10th .485 </w:t>
      </w:r>
    </w:p>
    <w:p w:rsidR="00FD1C72" w:rsidRPr="002547C1" w:rsidRDefault="002547C1" w:rsidP="002547C1">
      <w:pPr>
        <w:pStyle w:val="ListParagraph"/>
        <w:spacing w:after="0"/>
        <w:ind w:left="1440"/>
        <w:rPr>
          <w:i/>
        </w:rPr>
      </w:pPr>
      <w:r w:rsidRPr="002547C1">
        <w:rPr>
          <w:rFonts w:ascii="Calibri" w:hAnsi="Calibri" w:cs="Calibri"/>
        </w:rPr>
        <w:t xml:space="preserve">20th .529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30th .557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40th .572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50th (Median)</w:t>
      </w:r>
      <w:r>
        <w:rPr>
          <w:rFonts w:ascii="Calibri" w:hAnsi="Calibri" w:cs="Calibri"/>
        </w:rPr>
        <w:t xml:space="preserve">  </w:t>
      </w:r>
      <w:r w:rsidRPr="002547C1">
        <w:rPr>
          <w:rFonts w:ascii="Calibri" w:hAnsi="Calibri" w:cs="Calibri"/>
        </w:rPr>
        <w:t xml:space="preserve"> .587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60th .603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70th .627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lastRenderedPageBreak/>
        <w:t xml:space="preserve">80th .645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90th .672 </w:t>
      </w:r>
    </w:p>
    <w:p w:rsidR="002547C1" w:rsidRPr="002547C1" w:rsidRDefault="002547C1" w:rsidP="002547C1">
      <w:pPr>
        <w:pStyle w:val="ListParagraph"/>
        <w:ind w:left="1440"/>
        <w:rPr>
          <w:i/>
        </w:rPr>
      </w:pPr>
      <w:r w:rsidRPr="002547C1">
        <w:rPr>
          <w:rFonts w:ascii="Calibri" w:hAnsi="Calibri" w:cs="Calibri"/>
        </w:rPr>
        <w:t xml:space="preserve">Max .750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Distribution of Scores       Count           Percent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.379 to .399                           3                      2.5%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.400 to .499                         12                      9.9%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.500 to .599                         55                    45.5% </w:t>
      </w:r>
    </w:p>
    <w:p w:rsidR="002547C1" w:rsidRPr="002547C1" w:rsidRDefault="002547C1" w:rsidP="002547C1">
      <w:pPr>
        <w:autoSpaceDE w:val="0"/>
        <w:autoSpaceDN w:val="0"/>
        <w:adjustRightInd w:val="0"/>
        <w:spacing w:after="0" w:line="240" w:lineRule="auto"/>
        <w:ind w:left="1440"/>
        <w:rPr>
          <w:rFonts w:ascii="Calibri" w:hAnsi="Calibri" w:cs="Calibri"/>
        </w:rPr>
      </w:pPr>
      <w:r w:rsidRPr="002547C1">
        <w:rPr>
          <w:rFonts w:ascii="Calibri" w:hAnsi="Calibri" w:cs="Calibri"/>
        </w:rPr>
        <w:t xml:space="preserve">.600 to .699                         46                    38.0% </w:t>
      </w:r>
    </w:p>
    <w:p w:rsidR="002547C1" w:rsidRPr="002547C1" w:rsidRDefault="002547C1" w:rsidP="002547C1">
      <w:pPr>
        <w:pStyle w:val="ListParagraph"/>
        <w:ind w:left="1440"/>
        <w:rPr>
          <w:rFonts w:ascii="Calibri" w:hAnsi="Calibri" w:cs="Calibri"/>
        </w:rPr>
      </w:pPr>
      <w:r w:rsidRPr="002547C1">
        <w:rPr>
          <w:rFonts w:ascii="Calibri" w:hAnsi="Calibri" w:cs="Calibri"/>
        </w:rPr>
        <w:t xml:space="preserve">.700 to .750                            5                      4.1% </w:t>
      </w:r>
    </w:p>
    <w:p w:rsidR="002547C1" w:rsidRDefault="002547C1" w:rsidP="002547C1">
      <w:pPr>
        <w:pStyle w:val="ListParagraph"/>
        <w:ind w:left="1440"/>
        <w:rPr>
          <w:i/>
          <w:color w:val="FF0000"/>
        </w:rPr>
      </w:pPr>
    </w:p>
    <w:p w:rsidR="00300FD4" w:rsidRDefault="00300FD4" w:rsidP="00300FD4">
      <w:pPr>
        <w:pStyle w:val="ListParagraph"/>
        <w:numPr>
          <w:ilvl w:val="0"/>
          <w:numId w:val="2"/>
        </w:numPr>
        <w:rPr>
          <w:i/>
          <w:color w:val="FF0000"/>
        </w:rPr>
      </w:pPr>
      <w:r w:rsidRPr="00300FD4">
        <w:rPr>
          <w:i/>
          <w:color w:val="FF0000"/>
        </w:rPr>
        <w:t>Expected Outcome (Patient care/patient health improvements, cost savings)</w:t>
      </w:r>
    </w:p>
    <w:p w:rsidR="00255B0A" w:rsidRDefault="00D000D3" w:rsidP="00D000D3">
      <w:pPr>
        <w:pStyle w:val="ListParagraph"/>
        <w:numPr>
          <w:ilvl w:val="1"/>
          <w:numId w:val="2"/>
        </w:numPr>
      </w:pPr>
      <w:r>
        <w:t xml:space="preserve">Assess the four measure numerators of BP Control, Daily Aspirin or Other Antiplatelet Unless Contraindicated, Tobacco Free Status and Statin Use.  </w:t>
      </w:r>
    </w:p>
    <w:p w:rsidR="0065637C" w:rsidRDefault="00255B0A" w:rsidP="0065637C">
      <w:pPr>
        <w:pStyle w:val="ListParagraph"/>
        <w:numPr>
          <w:ilvl w:val="2"/>
          <w:numId w:val="2"/>
        </w:numPr>
      </w:pPr>
      <w:r>
        <w:t xml:space="preserve">For patients on daily aspirin or other antiplatelet, risk of further cardiovascular complications is reduced.  </w:t>
      </w:r>
    </w:p>
    <w:p w:rsidR="0065637C" w:rsidRPr="00EE676B" w:rsidRDefault="0065637C" w:rsidP="0065637C">
      <w:pPr>
        <w:pStyle w:val="ListParagraph"/>
        <w:numPr>
          <w:ilvl w:val="2"/>
          <w:numId w:val="2"/>
        </w:numPr>
      </w:pPr>
      <w:r>
        <w:rPr>
          <w:rFonts w:ascii="Calibri" w:hAnsi="Calibri" w:cs="Calibri"/>
          <w:color w:val="000000"/>
        </w:rPr>
        <w:t>B</w:t>
      </w:r>
      <w:r w:rsidRPr="0065637C">
        <w:rPr>
          <w:rFonts w:ascii="Calibri" w:hAnsi="Calibri" w:cs="Calibri"/>
          <w:color w:val="000000"/>
        </w:rPr>
        <w:t xml:space="preserve">lood pressure should be kept below 140mmHg systolic and 90mmHg diastolic to prevent further cardiovascular risk. </w:t>
      </w:r>
    </w:p>
    <w:p w:rsidR="003F3D0C" w:rsidRPr="003F3D0C" w:rsidRDefault="00EE676B" w:rsidP="003F3D0C">
      <w:pPr>
        <w:pStyle w:val="ListParagraph"/>
        <w:numPr>
          <w:ilvl w:val="2"/>
          <w:numId w:val="2"/>
        </w:numPr>
      </w:pPr>
      <w:r>
        <w:rPr>
          <w:rFonts w:ascii="Calibri" w:hAnsi="Calibri" w:cs="Calibri"/>
          <w:color w:val="000000"/>
        </w:rPr>
        <w:t>There is evidence that tobacco use interventions, if delivered in a timely and effective manner, can rapidly reduce the risk of suffering from smoking-related disease.</w:t>
      </w:r>
    </w:p>
    <w:p w:rsidR="003F3D0C" w:rsidRPr="003F3D0C" w:rsidRDefault="003F3D0C" w:rsidP="003F3D0C">
      <w:pPr>
        <w:pStyle w:val="ListParagraph"/>
        <w:numPr>
          <w:ilvl w:val="2"/>
          <w:numId w:val="2"/>
        </w:numPr>
      </w:pPr>
      <w:r>
        <w:rPr>
          <w:rFonts w:ascii="Calibri" w:hAnsi="Calibri" w:cs="Calibri"/>
          <w:color w:val="000000"/>
        </w:rPr>
        <w:t>F</w:t>
      </w:r>
      <w:r w:rsidRPr="003F3D0C">
        <w:rPr>
          <w:rFonts w:ascii="Calibri" w:hAnsi="Calibri" w:cs="Calibri"/>
          <w:color w:val="000000"/>
        </w:rPr>
        <w:t xml:space="preserve">or patients on appropriate statin medication, risk of further cardiovascular complications is reduced. </w:t>
      </w:r>
    </w:p>
    <w:p w:rsidR="00EE676B" w:rsidRDefault="00EE676B" w:rsidP="00EE676B">
      <w:pPr>
        <w:pStyle w:val="ListParagraph"/>
        <w:ind w:left="2160"/>
      </w:pPr>
    </w:p>
    <w:p w:rsidR="00D000D3" w:rsidRDefault="00D000D3" w:rsidP="00D000D3">
      <w:pPr>
        <w:pStyle w:val="ListParagraph"/>
        <w:numPr>
          <w:ilvl w:val="1"/>
          <w:numId w:val="2"/>
        </w:numPr>
      </w:pPr>
      <w:r>
        <w:t xml:space="preserve">Identify the patients who are non-compliant with any of the four components and provide recommendations and intervention strategies individualized for the patient to promote </w:t>
      </w:r>
      <w:r w:rsidR="00255B0A">
        <w:t>an enhanced quality of life, increased worker productivity, and reduction in health care costs.</w:t>
      </w:r>
    </w:p>
    <w:p w:rsidR="00255B0A" w:rsidRPr="00D000D3" w:rsidRDefault="00255B0A" w:rsidP="00255B0A">
      <w:pPr>
        <w:pStyle w:val="ListParagraph"/>
        <w:ind w:left="2160"/>
      </w:pPr>
    </w:p>
    <w:p w:rsidR="00255B0A" w:rsidRDefault="00300FD4" w:rsidP="00300FD4">
      <w:pPr>
        <w:pStyle w:val="ListParagraph"/>
        <w:numPr>
          <w:ilvl w:val="0"/>
          <w:numId w:val="2"/>
        </w:numPr>
        <w:rPr>
          <w:i/>
          <w:color w:val="FF0000"/>
        </w:rPr>
      </w:pPr>
      <w:r w:rsidRPr="00300FD4">
        <w:rPr>
          <w:i/>
          <w:color w:val="FF0000"/>
        </w:rPr>
        <w:t xml:space="preserve">Recommendation for Measure (Is it based on a study, consensus opinion, USPSTF recommendation etc.?)   </w:t>
      </w:r>
    </w:p>
    <w:p w:rsidR="00255B0A" w:rsidRPr="00255B0A" w:rsidRDefault="00255B0A" w:rsidP="00255B0A">
      <w:pPr>
        <w:autoSpaceDE w:val="0"/>
        <w:autoSpaceDN w:val="0"/>
        <w:adjustRightInd w:val="0"/>
        <w:spacing w:after="0" w:line="240" w:lineRule="auto"/>
        <w:ind w:left="1440"/>
        <w:rPr>
          <w:rFonts w:ascii="Calibri" w:hAnsi="Calibri" w:cs="Calibri"/>
          <w:color w:val="000000"/>
          <w:u w:val="single"/>
        </w:rPr>
      </w:pPr>
      <w:r w:rsidRPr="00255B0A">
        <w:rPr>
          <w:rFonts w:ascii="Calibri" w:hAnsi="Calibri" w:cs="Calibri"/>
          <w:color w:val="000000"/>
          <w:u w:val="single"/>
        </w:rPr>
        <w:t xml:space="preserve">Evidence for </w:t>
      </w:r>
      <w:r w:rsidRPr="00255B0A">
        <w:rPr>
          <w:rFonts w:ascii="Calibri" w:hAnsi="Calibri" w:cs="Calibri"/>
          <w:b/>
          <w:bCs/>
          <w:color w:val="000000"/>
          <w:u w:val="single"/>
        </w:rPr>
        <w:t xml:space="preserve">Aspirin/Antiplatelet Therapy </w:t>
      </w:r>
    </w:p>
    <w:p w:rsidR="00255B0A" w:rsidRDefault="00255B0A" w:rsidP="00255B0A">
      <w:pPr>
        <w:autoSpaceDE w:val="0"/>
        <w:autoSpaceDN w:val="0"/>
        <w:adjustRightInd w:val="0"/>
        <w:spacing w:after="0" w:line="240" w:lineRule="auto"/>
        <w:ind w:left="1440"/>
        <w:rPr>
          <w:rFonts w:ascii="Calibri" w:hAnsi="Calibri" w:cs="Calibri"/>
        </w:rPr>
      </w:pPr>
      <w:proofErr w:type="gramStart"/>
      <w:r w:rsidRPr="00255B0A">
        <w:rPr>
          <w:rFonts w:ascii="Courier New" w:hAnsi="Courier New" w:cs="Courier New"/>
          <w:color w:val="000000"/>
        </w:rPr>
        <w:t>o</w:t>
      </w:r>
      <w:proofErr w:type="gramEnd"/>
      <w:r w:rsidRPr="00255B0A">
        <w:rPr>
          <w:rFonts w:ascii="Courier New" w:hAnsi="Courier New" w:cs="Courier New"/>
          <w:color w:val="000000"/>
        </w:rPr>
        <w:t xml:space="preserve"> </w:t>
      </w:r>
      <w:r w:rsidRPr="00255B0A">
        <w:rPr>
          <w:rFonts w:ascii="Calibri" w:hAnsi="Calibri" w:cs="Calibri"/>
          <w:color w:val="000000"/>
        </w:rPr>
        <w:t xml:space="preserve">The evidence for this component is derived from the </w:t>
      </w:r>
      <w:r w:rsidRPr="00255B0A">
        <w:rPr>
          <w:rFonts w:ascii="Calibri" w:hAnsi="Calibri" w:cs="Calibri"/>
        </w:rPr>
        <w:t xml:space="preserve">AHA/ACC Guidelines for Preventing Heart Attack and Death in Patients with Atherosclerotic Cardiovascular Disease: 2011 Update </w:t>
      </w:r>
    </w:p>
    <w:p w:rsidR="0065637C" w:rsidRPr="00EE676B" w:rsidRDefault="00CF6E58" w:rsidP="0065637C">
      <w:pPr>
        <w:pStyle w:val="PlainText"/>
        <w:ind w:left="1440"/>
        <w:rPr>
          <w:rFonts w:asciiTheme="minorHAnsi" w:hAnsiTheme="minorHAnsi" w:cstheme="minorHAnsi"/>
          <w:i/>
          <w:color w:val="000000"/>
          <w:sz w:val="22"/>
          <w:szCs w:val="22"/>
        </w:rPr>
      </w:pPr>
      <w:hyperlink r:id="rId8" w:history="1">
        <w:r w:rsidR="0065637C" w:rsidRPr="00EE676B">
          <w:rPr>
            <w:rStyle w:val="Hyperlink"/>
            <w:rFonts w:asciiTheme="minorHAnsi" w:hAnsiTheme="minorHAnsi" w:cstheme="minorHAnsi"/>
            <w:i/>
            <w:sz w:val="22"/>
            <w:szCs w:val="22"/>
          </w:rPr>
          <w:t>http://circ.ahajournals.org/content/124/22/2458.full.pdf+html</w:t>
        </w:r>
      </w:hyperlink>
    </w:p>
    <w:p w:rsidR="0065637C" w:rsidRPr="00255B0A" w:rsidRDefault="0065637C" w:rsidP="00255B0A">
      <w:pPr>
        <w:autoSpaceDE w:val="0"/>
        <w:autoSpaceDN w:val="0"/>
        <w:adjustRightInd w:val="0"/>
        <w:spacing w:after="0" w:line="240" w:lineRule="auto"/>
        <w:ind w:left="1440"/>
        <w:rPr>
          <w:rFonts w:ascii="Calibri" w:hAnsi="Calibri" w:cs="Calibri"/>
          <w:color w:val="0000FF"/>
        </w:rPr>
      </w:pPr>
    </w:p>
    <w:p w:rsidR="00255B0A" w:rsidRPr="00255B0A" w:rsidRDefault="00255B0A" w:rsidP="0065637C">
      <w:pPr>
        <w:autoSpaceDE w:val="0"/>
        <w:autoSpaceDN w:val="0"/>
        <w:adjustRightInd w:val="0"/>
        <w:spacing w:after="0" w:line="240" w:lineRule="auto"/>
        <w:ind w:left="1440"/>
        <w:rPr>
          <w:rFonts w:ascii="Calibri" w:hAnsi="Calibri" w:cs="Calibri"/>
          <w:color w:val="000000"/>
        </w:rPr>
      </w:pPr>
      <w:proofErr w:type="gramStart"/>
      <w:r w:rsidRPr="00255B0A">
        <w:rPr>
          <w:rFonts w:ascii="Courier New" w:hAnsi="Courier New" w:cs="Courier New"/>
          <w:color w:val="000000"/>
        </w:rPr>
        <w:t>o</w:t>
      </w:r>
      <w:proofErr w:type="gramEnd"/>
      <w:r w:rsidRPr="00255B0A">
        <w:rPr>
          <w:rFonts w:ascii="Courier New" w:hAnsi="Courier New" w:cs="Courier New"/>
          <w:color w:val="000000"/>
        </w:rPr>
        <w:t xml:space="preserve"> The </w:t>
      </w:r>
      <w:r w:rsidRPr="00255B0A">
        <w:rPr>
          <w:rFonts w:ascii="Calibri" w:hAnsi="Calibri" w:cs="Calibri"/>
        </w:rPr>
        <w:t xml:space="preserve">specific guideline recommendation </w:t>
      </w:r>
      <w:r w:rsidRPr="00255B0A">
        <w:rPr>
          <w:rFonts w:ascii="Calibri" w:hAnsi="Calibri" w:cs="Calibri"/>
          <w:color w:val="000000"/>
        </w:rPr>
        <w:t xml:space="preserve">is as follows: </w:t>
      </w:r>
    </w:p>
    <w:p w:rsidR="0065637C" w:rsidRDefault="00255B0A" w:rsidP="0065637C">
      <w:pPr>
        <w:autoSpaceDE w:val="0"/>
        <w:autoSpaceDN w:val="0"/>
        <w:adjustRightInd w:val="0"/>
        <w:spacing w:after="0" w:line="240" w:lineRule="auto"/>
        <w:ind w:left="2160"/>
        <w:rPr>
          <w:rFonts w:ascii="Calibri" w:hAnsi="Calibri" w:cs="Calibri"/>
          <w:color w:val="000000"/>
        </w:rPr>
      </w:pPr>
      <w:r w:rsidRPr="00255B0A">
        <w:rPr>
          <w:rFonts w:ascii="Wingdings" w:hAnsi="Wingdings" w:cs="Wingdings"/>
          <w:color w:val="000000"/>
        </w:rPr>
        <w:t></w:t>
      </w:r>
      <w:r w:rsidRPr="00255B0A">
        <w:rPr>
          <w:rFonts w:ascii="Wingdings" w:hAnsi="Wingdings" w:cs="Wingdings"/>
          <w:color w:val="000000"/>
        </w:rPr>
        <w:t></w:t>
      </w:r>
      <w:r w:rsidRPr="00255B0A">
        <w:rPr>
          <w:rFonts w:ascii="Calibri" w:hAnsi="Calibri" w:cs="Calibri"/>
          <w:color w:val="000000"/>
        </w:rPr>
        <w:t>Goal: Aspirin 75–162 mg daily is recommended in all patients with coronary artery disease</w:t>
      </w:r>
    </w:p>
    <w:p w:rsidR="00255B0A" w:rsidRPr="00255B0A" w:rsidRDefault="00255B0A" w:rsidP="0065637C">
      <w:pPr>
        <w:autoSpaceDE w:val="0"/>
        <w:autoSpaceDN w:val="0"/>
        <w:adjustRightInd w:val="0"/>
        <w:spacing w:after="0" w:line="240" w:lineRule="auto"/>
        <w:ind w:left="2160"/>
        <w:rPr>
          <w:rFonts w:ascii="Calibri" w:hAnsi="Calibri" w:cs="Calibri"/>
          <w:color w:val="000000"/>
        </w:rPr>
      </w:pPr>
      <w:r w:rsidRPr="00255B0A">
        <w:rPr>
          <w:rFonts w:ascii="Calibri" w:hAnsi="Calibri" w:cs="Calibri"/>
          <w:color w:val="000000"/>
        </w:rPr>
        <w:t xml:space="preserve"> </w:t>
      </w:r>
    </w:p>
    <w:p w:rsidR="00255B0A" w:rsidRPr="00EE676B" w:rsidRDefault="00255B0A" w:rsidP="0065637C">
      <w:pPr>
        <w:pStyle w:val="Default"/>
        <w:numPr>
          <w:ilvl w:val="0"/>
          <w:numId w:val="12"/>
        </w:numPr>
        <w:rPr>
          <w:rFonts w:asciiTheme="minorHAnsi" w:hAnsiTheme="minorHAnsi" w:cstheme="minorHAnsi"/>
          <w:color w:val="auto"/>
          <w:sz w:val="22"/>
          <w:szCs w:val="22"/>
        </w:rPr>
      </w:pPr>
      <w:r w:rsidRPr="00EE676B">
        <w:rPr>
          <w:sz w:val="22"/>
          <w:szCs w:val="22"/>
        </w:rPr>
        <w:t xml:space="preserve">This is a </w:t>
      </w:r>
      <w:r w:rsidRPr="00EE676B">
        <w:rPr>
          <w:b/>
          <w:bCs/>
          <w:color w:val="auto"/>
          <w:sz w:val="22"/>
          <w:szCs w:val="22"/>
        </w:rPr>
        <w:t xml:space="preserve">Class I </w:t>
      </w:r>
      <w:r w:rsidRPr="00EE676B">
        <w:rPr>
          <w:color w:val="auto"/>
          <w:sz w:val="22"/>
          <w:szCs w:val="22"/>
        </w:rPr>
        <w:t xml:space="preserve">recommendation (defined as a condition for which there is evidence and/or general agreement that a given procedure or treatment is useful and effective) with </w:t>
      </w:r>
      <w:r w:rsidRPr="00EE676B">
        <w:rPr>
          <w:b/>
          <w:bCs/>
          <w:color w:val="auto"/>
          <w:sz w:val="22"/>
          <w:szCs w:val="22"/>
        </w:rPr>
        <w:t xml:space="preserve">level of evidence A </w:t>
      </w:r>
      <w:r w:rsidRPr="00EE676B">
        <w:rPr>
          <w:color w:val="auto"/>
          <w:sz w:val="22"/>
          <w:szCs w:val="22"/>
        </w:rPr>
        <w:t xml:space="preserve">(defined as a recommendation based on evidence from multiple randomized trials or meta-analyses). </w:t>
      </w:r>
      <w:r w:rsidR="0065637C" w:rsidRPr="00EE676B">
        <w:rPr>
          <w:color w:val="auto"/>
          <w:sz w:val="22"/>
          <w:szCs w:val="22"/>
        </w:rPr>
        <w:t xml:space="preserve">  </w:t>
      </w:r>
      <w:r w:rsidRPr="00EE676B">
        <w:rPr>
          <w:color w:val="auto"/>
          <w:sz w:val="22"/>
          <w:szCs w:val="22"/>
        </w:rPr>
        <w:t xml:space="preserve">These are, respectively, the highest recommendation class and level of evidence available under the ACC/AHA grading system. </w:t>
      </w:r>
      <w:r w:rsidR="0065637C" w:rsidRPr="00EE676B">
        <w:rPr>
          <w:color w:val="auto"/>
          <w:sz w:val="22"/>
          <w:szCs w:val="22"/>
        </w:rPr>
        <w:t xml:space="preserve">  </w:t>
      </w:r>
      <w:r w:rsidRPr="00EE676B">
        <w:rPr>
          <w:rFonts w:asciiTheme="minorHAnsi" w:hAnsiTheme="minorHAnsi" w:cstheme="minorHAnsi"/>
          <w:color w:val="auto"/>
          <w:sz w:val="22"/>
          <w:szCs w:val="22"/>
        </w:rPr>
        <w:t xml:space="preserve">This recommendation is based on multiple clinical trials or meta-analyses covering multiple populations over the timespan of 2006-2011. </w:t>
      </w:r>
    </w:p>
    <w:p w:rsidR="0065637C" w:rsidRPr="0065637C" w:rsidRDefault="00300FD4" w:rsidP="0065637C">
      <w:pPr>
        <w:pStyle w:val="Default"/>
        <w:rPr>
          <w:rFonts w:cs="Times New Roman"/>
          <w:color w:val="auto"/>
        </w:rPr>
      </w:pPr>
      <w:r w:rsidRPr="00300FD4">
        <w:rPr>
          <w:i/>
          <w:color w:val="FF0000"/>
        </w:rPr>
        <w:t xml:space="preserve">  </w:t>
      </w:r>
    </w:p>
    <w:p w:rsidR="0065637C" w:rsidRPr="0065637C" w:rsidRDefault="0065637C" w:rsidP="0065637C">
      <w:pPr>
        <w:autoSpaceDE w:val="0"/>
        <w:autoSpaceDN w:val="0"/>
        <w:adjustRightInd w:val="0"/>
        <w:spacing w:after="0" w:line="240" w:lineRule="auto"/>
        <w:ind w:left="1440"/>
        <w:rPr>
          <w:rFonts w:cstheme="minorHAnsi"/>
          <w:u w:val="single"/>
        </w:rPr>
      </w:pPr>
      <w:r w:rsidRPr="0065637C">
        <w:rPr>
          <w:rFonts w:cstheme="minorHAnsi"/>
          <w:u w:val="single"/>
        </w:rPr>
        <w:t xml:space="preserve">Evidence for </w:t>
      </w:r>
      <w:r w:rsidRPr="0065637C">
        <w:rPr>
          <w:rFonts w:cstheme="minorHAnsi"/>
          <w:b/>
          <w:bCs/>
          <w:u w:val="single"/>
        </w:rPr>
        <w:t xml:space="preserve">Blood Pressure Control </w:t>
      </w:r>
    </w:p>
    <w:p w:rsidR="0065637C" w:rsidRDefault="0065637C" w:rsidP="00EE676B">
      <w:pPr>
        <w:pStyle w:val="Default"/>
        <w:numPr>
          <w:ilvl w:val="0"/>
          <w:numId w:val="12"/>
        </w:numPr>
        <w:rPr>
          <w:rFonts w:asciiTheme="minorHAnsi" w:hAnsiTheme="minorHAnsi" w:cstheme="minorHAnsi"/>
          <w:color w:val="auto"/>
          <w:sz w:val="22"/>
          <w:szCs w:val="22"/>
        </w:rPr>
      </w:pPr>
      <w:r w:rsidRPr="0065637C">
        <w:rPr>
          <w:rFonts w:asciiTheme="minorHAnsi" w:hAnsiTheme="minorHAnsi" w:cstheme="minorHAnsi"/>
          <w:color w:val="auto"/>
          <w:sz w:val="22"/>
          <w:szCs w:val="22"/>
        </w:rPr>
        <w:t xml:space="preserve">The evidence for this component is derived from the AHA/ACC Guidelines for Preventing Heart Attack and Death in Patients with Atherosclerotic Cardiovascular Disease: 2011 Update </w:t>
      </w:r>
    </w:p>
    <w:p w:rsidR="00EE676B" w:rsidRPr="00EE676B" w:rsidRDefault="00CF6E58" w:rsidP="00EE676B">
      <w:pPr>
        <w:pStyle w:val="Default"/>
        <w:ind w:left="1800"/>
        <w:rPr>
          <w:b/>
          <w:bCs/>
          <w:i/>
          <w:color w:val="0000FF"/>
          <w:sz w:val="22"/>
          <w:szCs w:val="22"/>
        </w:rPr>
      </w:pPr>
      <w:hyperlink r:id="rId9" w:history="1">
        <w:r w:rsidR="00EE676B" w:rsidRPr="00EE676B">
          <w:rPr>
            <w:rStyle w:val="Hyperlink"/>
            <w:bCs/>
            <w:i/>
            <w:sz w:val="22"/>
            <w:szCs w:val="22"/>
          </w:rPr>
          <w:t>http://circ.ahajournals.org/content/124/22/2458.full.pdf+htm</w:t>
        </w:r>
        <w:r w:rsidR="00EE676B" w:rsidRPr="00EE676B">
          <w:rPr>
            <w:rStyle w:val="Hyperlink"/>
            <w:b/>
            <w:bCs/>
            <w:i/>
            <w:sz w:val="22"/>
            <w:szCs w:val="22"/>
          </w:rPr>
          <w:t>l</w:t>
        </w:r>
      </w:hyperlink>
    </w:p>
    <w:p w:rsidR="00EE676B" w:rsidRPr="0065637C" w:rsidRDefault="00EE676B" w:rsidP="00EE676B">
      <w:pPr>
        <w:pStyle w:val="Default"/>
        <w:ind w:left="1800"/>
        <w:rPr>
          <w:rFonts w:asciiTheme="minorHAnsi" w:hAnsiTheme="minorHAnsi" w:cstheme="minorHAnsi"/>
          <w:color w:val="auto"/>
          <w:sz w:val="22"/>
          <w:szCs w:val="22"/>
        </w:rPr>
      </w:pPr>
    </w:p>
    <w:p w:rsidR="0065637C" w:rsidRPr="0065637C" w:rsidRDefault="0065637C" w:rsidP="00EE676B">
      <w:pPr>
        <w:autoSpaceDE w:val="0"/>
        <w:autoSpaceDN w:val="0"/>
        <w:adjustRightInd w:val="0"/>
        <w:spacing w:after="0" w:line="240" w:lineRule="auto"/>
        <w:ind w:left="1440"/>
        <w:rPr>
          <w:rFonts w:cstheme="minorHAnsi"/>
        </w:rPr>
      </w:pPr>
      <w:proofErr w:type="gramStart"/>
      <w:r w:rsidRPr="0065637C">
        <w:rPr>
          <w:rFonts w:cstheme="minorHAnsi"/>
        </w:rPr>
        <w:t>o</w:t>
      </w:r>
      <w:proofErr w:type="gramEnd"/>
      <w:r w:rsidRPr="0065637C">
        <w:rPr>
          <w:rFonts w:cstheme="minorHAnsi"/>
        </w:rPr>
        <w:t xml:space="preserve"> The specific guideline recommendation is as follows: </w:t>
      </w:r>
    </w:p>
    <w:p w:rsidR="00EE676B" w:rsidRDefault="0065637C" w:rsidP="00EE676B">
      <w:pPr>
        <w:autoSpaceDE w:val="0"/>
        <w:autoSpaceDN w:val="0"/>
        <w:adjustRightInd w:val="0"/>
        <w:spacing w:after="0" w:line="240" w:lineRule="auto"/>
        <w:ind w:left="2160"/>
        <w:rPr>
          <w:rFonts w:cstheme="minorHAnsi"/>
        </w:rPr>
      </w:pPr>
      <w:r w:rsidRPr="0065637C">
        <w:rPr>
          <w:rFonts w:cstheme="minorHAnsi"/>
        </w:rPr>
        <w:t> Blood Pressure Goal: &lt;140/90 mm Hg</w:t>
      </w:r>
    </w:p>
    <w:p w:rsidR="0065637C" w:rsidRPr="0065637C" w:rsidRDefault="0065637C" w:rsidP="00EE676B">
      <w:pPr>
        <w:autoSpaceDE w:val="0"/>
        <w:autoSpaceDN w:val="0"/>
        <w:adjustRightInd w:val="0"/>
        <w:spacing w:after="0" w:line="240" w:lineRule="auto"/>
        <w:ind w:left="2160"/>
        <w:rPr>
          <w:rFonts w:cstheme="minorHAnsi"/>
        </w:rPr>
      </w:pPr>
      <w:r w:rsidRPr="0065637C">
        <w:rPr>
          <w:rFonts w:cstheme="minorHAnsi"/>
        </w:rPr>
        <w:t xml:space="preserve"> </w:t>
      </w:r>
    </w:p>
    <w:p w:rsidR="0065637C" w:rsidRPr="0065637C" w:rsidRDefault="0065637C" w:rsidP="00EE676B">
      <w:pPr>
        <w:autoSpaceDE w:val="0"/>
        <w:autoSpaceDN w:val="0"/>
        <w:adjustRightInd w:val="0"/>
        <w:spacing w:after="0" w:line="240" w:lineRule="auto"/>
        <w:ind w:left="1440"/>
        <w:rPr>
          <w:rFonts w:cstheme="minorHAnsi"/>
        </w:rPr>
      </w:pPr>
      <w:proofErr w:type="gramStart"/>
      <w:r w:rsidRPr="0065637C">
        <w:rPr>
          <w:rFonts w:cstheme="minorHAnsi"/>
        </w:rPr>
        <w:lastRenderedPageBreak/>
        <w:t>o</w:t>
      </w:r>
      <w:proofErr w:type="gramEnd"/>
      <w:r w:rsidRPr="0065637C">
        <w:rPr>
          <w:rFonts w:cstheme="minorHAnsi"/>
        </w:rPr>
        <w:t xml:space="preserve"> This is a </w:t>
      </w:r>
      <w:r w:rsidRPr="0065637C">
        <w:rPr>
          <w:rFonts w:cstheme="minorHAnsi"/>
          <w:b/>
          <w:bCs/>
        </w:rPr>
        <w:t xml:space="preserve">Class I </w:t>
      </w:r>
      <w:r w:rsidRPr="0065637C">
        <w:rPr>
          <w:rFonts w:cstheme="minorHAnsi"/>
        </w:rPr>
        <w:t xml:space="preserve">recommendation (defined as a condition for which there is evidence and/or general agreement that a given procedure or treatment is useful and effective) with </w:t>
      </w:r>
      <w:r w:rsidRPr="0065637C">
        <w:rPr>
          <w:rFonts w:cstheme="minorHAnsi"/>
          <w:b/>
          <w:bCs/>
        </w:rPr>
        <w:t xml:space="preserve">level of evidence A </w:t>
      </w:r>
      <w:r w:rsidRPr="0065637C">
        <w:rPr>
          <w:rFonts w:cstheme="minorHAnsi"/>
        </w:rPr>
        <w:t xml:space="preserve">(defined as a recommendation based on evidence from multiple randomized trials or meta-analyses).  These are, respectively, the highest recommendation class and level of evidence available under the ACC/AHA grading system. </w:t>
      </w:r>
      <w:r w:rsidR="00EE676B" w:rsidRPr="00EE676B">
        <w:rPr>
          <w:rFonts w:cstheme="minorHAnsi"/>
        </w:rPr>
        <w:t xml:space="preserve"> </w:t>
      </w:r>
      <w:r w:rsidRPr="0065637C">
        <w:rPr>
          <w:rFonts w:cstheme="minorHAnsi"/>
        </w:rPr>
        <w:t xml:space="preserve">This recommendation is based on multiple clinical trials or meta-analyses covering multiple populations over the timespan of 2006-2011. </w:t>
      </w:r>
    </w:p>
    <w:p w:rsidR="00300FD4" w:rsidRPr="00300FD4" w:rsidRDefault="00300FD4" w:rsidP="00255B0A">
      <w:pPr>
        <w:pStyle w:val="ListParagraph"/>
        <w:ind w:left="1440"/>
        <w:rPr>
          <w:i/>
          <w:color w:val="FF0000"/>
        </w:rPr>
      </w:pPr>
      <w:r w:rsidRPr="00300FD4">
        <w:rPr>
          <w:i/>
          <w:color w:val="FF0000"/>
        </w:rPr>
        <w:t xml:space="preserve">                                            </w:t>
      </w:r>
    </w:p>
    <w:p w:rsidR="00EE676B" w:rsidRDefault="00EE676B" w:rsidP="00EE676B">
      <w:pPr>
        <w:autoSpaceDE w:val="0"/>
        <w:autoSpaceDN w:val="0"/>
        <w:adjustRightInd w:val="0"/>
        <w:spacing w:after="0" w:line="240" w:lineRule="auto"/>
        <w:ind w:left="1440"/>
        <w:rPr>
          <w:rFonts w:ascii="Calibri" w:hAnsi="Calibri" w:cs="Calibri"/>
          <w:b/>
          <w:bCs/>
          <w:color w:val="000000"/>
          <w:u w:val="single"/>
        </w:rPr>
      </w:pPr>
      <w:r w:rsidRPr="00EE676B">
        <w:rPr>
          <w:rFonts w:ascii="Calibri" w:hAnsi="Calibri" w:cs="Calibri"/>
          <w:color w:val="000000"/>
          <w:u w:val="single"/>
        </w:rPr>
        <w:t xml:space="preserve">Evidence for </w:t>
      </w:r>
      <w:r w:rsidRPr="00EE676B">
        <w:rPr>
          <w:rFonts w:ascii="Calibri" w:hAnsi="Calibri" w:cs="Calibri"/>
          <w:b/>
          <w:bCs/>
          <w:color w:val="000000"/>
          <w:u w:val="single"/>
        </w:rPr>
        <w:t xml:space="preserve">Tobacco Status </w:t>
      </w:r>
    </w:p>
    <w:p w:rsidR="00125DF7" w:rsidRPr="00125DF7" w:rsidRDefault="00EE676B" w:rsidP="00125DF7">
      <w:pPr>
        <w:pStyle w:val="Default"/>
        <w:numPr>
          <w:ilvl w:val="0"/>
          <w:numId w:val="12"/>
        </w:numPr>
        <w:rPr>
          <w:rFonts w:asciiTheme="minorHAnsi" w:hAnsiTheme="minorHAnsi" w:cstheme="minorHAnsi"/>
          <w:color w:val="auto"/>
          <w:sz w:val="22"/>
          <w:szCs w:val="22"/>
        </w:rPr>
      </w:pPr>
      <w:r w:rsidRPr="00125DF7">
        <w:rPr>
          <w:rFonts w:asciiTheme="minorHAnsi" w:hAnsiTheme="minorHAnsi" w:cstheme="minorHAnsi"/>
          <w:color w:val="auto"/>
          <w:sz w:val="22"/>
          <w:szCs w:val="22"/>
        </w:rPr>
        <w:t xml:space="preserve">The evidence for this component is derived from </w:t>
      </w:r>
      <w:r w:rsidRPr="00EE676B">
        <w:rPr>
          <w:rFonts w:asciiTheme="minorHAnsi" w:hAnsiTheme="minorHAnsi" w:cstheme="minorHAnsi"/>
          <w:color w:val="auto"/>
          <w:sz w:val="22"/>
          <w:szCs w:val="22"/>
        </w:rPr>
        <w:t xml:space="preserve">the U.S. Department of Health And Human Services – Public Health Service. </w:t>
      </w:r>
      <w:r w:rsidR="00125DF7" w:rsidRPr="00125DF7">
        <w:rPr>
          <w:rFonts w:asciiTheme="minorHAnsi" w:hAnsiTheme="minorHAnsi" w:cstheme="minorHAnsi"/>
          <w:color w:val="auto"/>
          <w:sz w:val="22"/>
          <w:szCs w:val="22"/>
        </w:rPr>
        <w:t xml:space="preserve">  </w:t>
      </w:r>
      <w:r w:rsidR="00125DF7">
        <w:rPr>
          <w:rFonts w:asciiTheme="minorHAnsi" w:hAnsiTheme="minorHAnsi" w:cstheme="minorHAnsi"/>
          <w:color w:val="auto"/>
          <w:sz w:val="22"/>
          <w:szCs w:val="22"/>
        </w:rPr>
        <w:t>T</w:t>
      </w:r>
      <w:r w:rsidR="00125DF7" w:rsidRPr="00125DF7">
        <w:rPr>
          <w:rFonts w:asciiTheme="minorHAnsi" w:hAnsiTheme="minorHAnsi" w:cstheme="minorHAnsi"/>
          <w:color w:val="auto"/>
          <w:sz w:val="22"/>
          <w:szCs w:val="22"/>
        </w:rPr>
        <w:t xml:space="preserve">he guideline </w:t>
      </w:r>
      <w:r w:rsidR="00125DF7">
        <w:rPr>
          <w:rFonts w:asciiTheme="minorHAnsi" w:hAnsiTheme="minorHAnsi" w:cstheme="minorHAnsi"/>
          <w:color w:val="auto"/>
          <w:sz w:val="22"/>
          <w:szCs w:val="22"/>
        </w:rPr>
        <w:t>suggests</w:t>
      </w:r>
      <w:r w:rsidR="00125DF7" w:rsidRPr="00125DF7">
        <w:rPr>
          <w:rFonts w:asciiTheme="minorHAnsi" w:hAnsiTheme="minorHAnsi" w:cstheme="minorHAnsi"/>
          <w:color w:val="auto"/>
          <w:sz w:val="22"/>
          <w:szCs w:val="22"/>
        </w:rPr>
        <w:t xml:space="preserve"> that tobacco use accounts for more than 435,000 deaths each year in the United States, noting that smoking is a known cause of multiple serious diseases and other harmful consequences. </w:t>
      </w:r>
      <w:r w:rsidR="00125DF7">
        <w:rPr>
          <w:rFonts w:asciiTheme="minorHAnsi" w:hAnsiTheme="minorHAnsi" w:cstheme="minorHAnsi"/>
          <w:color w:val="auto"/>
          <w:sz w:val="22"/>
          <w:szCs w:val="22"/>
        </w:rPr>
        <w:t xml:space="preserve"> T</w:t>
      </w:r>
      <w:r w:rsidR="00125DF7" w:rsidRPr="00125DF7">
        <w:rPr>
          <w:rFonts w:asciiTheme="minorHAnsi" w:hAnsiTheme="minorHAnsi" w:cstheme="minorHAnsi"/>
          <w:color w:val="auto"/>
          <w:sz w:val="22"/>
          <w:szCs w:val="22"/>
        </w:rPr>
        <w:t xml:space="preserve">he costs of tobacco use to society, including smoking-attributable direct medical expenses and lost productivity. </w:t>
      </w:r>
      <w:r w:rsidR="00125DF7">
        <w:rPr>
          <w:rFonts w:asciiTheme="minorHAnsi" w:hAnsiTheme="minorHAnsi" w:cstheme="minorHAnsi"/>
          <w:color w:val="auto"/>
          <w:sz w:val="22"/>
          <w:szCs w:val="22"/>
        </w:rPr>
        <w:t xml:space="preserve"> </w:t>
      </w:r>
      <w:r w:rsidR="00125DF7" w:rsidRPr="00125DF7">
        <w:rPr>
          <w:rFonts w:asciiTheme="minorHAnsi" w:hAnsiTheme="minorHAnsi" w:cstheme="minorHAnsi"/>
          <w:color w:val="auto"/>
          <w:sz w:val="22"/>
          <w:szCs w:val="22"/>
        </w:rPr>
        <w:t xml:space="preserve">In addition, clinicians and health care systems often fail to treat tobacco use consistently and correctly, noting that as of 2005, only 70 percent of smokers reported having received some counseling to quit, and that among current smokers who attempted to stop for at least 1 day in the past year, only 21.7 percent used cessation medication. </w:t>
      </w:r>
    </w:p>
    <w:p w:rsidR="00125DF7" w:rsidRDefault="00CF6E58" w:rsidP="00125DF7">
      <w:pPr>
        <w:pStyle w:val="Default"/>
        <w:ind w:left="1800"/>
        <w:rPr>
          <w:i/>
          <w:color w:val="0000FF"/>
          <w:sz w:val="22"/>
          <w:szCs w:val="22"/>
        </w:rPr>
      </w:pPr>
      <w:hyperlink r:id="rId10" w:history="1">
        <w:r w:rsidR="00125DF7" w:rsidRPr="000E3893">
          <w:rPr>
            <w:rStyle w:val="Hyperlink"/>
            <w:i/>
            <w:sz w:val="22"/>
            <w:szCs w:val="22"/>
          </w:rPr>
          <w:t>http://www.ctri.wisc.edu/Researchers/Guideline_update/cpg_full2008.pdf</w:t>
        </w:r>
      </w:hyperlink>
    </w:p>
    <w:p w:rsidR="00125DF7" w:rsidRDefault="00125DF7" w:rsidP="00125DF7">
      <w:pPr>
        <w:pStyle w:val="Default"/>
        <w:ind w:left="1440"/>
        <w:rPr>
          <w:rFonts w:asciiTheme="minorHAnsi" w:hAnsiTheme="minorHAnsi" w:cstheme="minorHAnsi"/>
          <w:color w:val="auto"/>
          <w:sz w:val="22"/>
          <w:szCs w:val="22"/>
        </w:rPr>
      </w:pPr>
    </w:p>
    <w:p w:rsidR="00125DF7" w:rsidRPr="00125DF7" w:rsidRDefault="00125DF7" w:rsidP="00125DF7">
      <w:pPr>
        <w:pStyle w:val="Default"/>
        <w:numPr>
          <w:ilvl w:val="0"/>
          <w:numId w:val="12"/>
        </w:numPr>
        <w:rPr>
          <w:sz w:val="22"/>
          <w:szCs w:val="22"/>
        </w:rPr>
      </w:pPr>
      <w:r w:rsidRPr="00125DF7">
        <w:rPr>
          <w:sz w:val="22"/>
          <w:szCs w:val="22"/>
        </w:rPr>
        <w:t>There is also a recommendation from the United States Preventive Services Task Force indicating</w:t>
      </w:r>
      <w:r w:rsidRPr="00125DF7">
        <w:rPr>
          <w:iCs/>
          <w:sz w:val="22"/>
          <w:szCs w:val="22"/>
        </w:rPr>
        <w:t xml:space="preserve"> that clinicians ask all adults about tobacco use and provide tobacco cessation interventions for those who use tobacco products</w:t>
      </w:r>
      <w:r w:rsidRPr="00125DF7">
        <w:rPr>
          <w:sz w:val="22"/>
          <w:szCs w:val="22"/>
        </w:rPr>
        <w:t xml:space="preserve">. This USPSTF guideline goes on to note that counseling and pharmaceutical interventions increase cessation rates that and that "The USPSTF found convincing evidence that smoking cessation decreases the risk for heart disease, stroke, and lung </w:t>
      </w:r>
      <w:r>
        <w:rPr>
          <w:sz w:val="22"/>
          <w:szCs w:val="22"/>
        </w:rPr>
        <w:t>disease."</w:t>
      </w:r>
    </w:p>
    <w:p w:rsidR="00125DF7" w:rsidRPr="00EE676B" w:rsidRDefault="00125DF7" w:rsidP="00125DF7">
      <w:pPr>
        <w:pStyle w:val="Default"/>
        <w:ind w:left="1440"/>
        <w:rPr>
          <w:i/>
          <w:sz w:val="22"/>
          <w:szCs w:val="22"/>
        </w:rPr>
      </w:pPr>
    </w:p>
    <w:p w:rsidR="00125DF7" w:rsidRDefault="00125DF7" w:rsidP="00125DF7">
      <w:pPr>
        <w:autoSpaceDE w:val="0"/>
        <w:autoSpaceDN w:val="0"/>
        <w:adjustRightInd w:val="0"/>
        <w:spacing w:after="0" w:line="240" w:lineRule="auto"/>
        <w:ind w:left="1440"/>
        <w:rPr>
          <w:rFonts w:ascii="Calibri" w:hAnsi="Calibri" w:cs="Calibri"/>
          <w:b/>
          <w:bCs/>
          <w:color w:val="000000"/>
          <w:u w:val="single"/>
        </w:rPr>
      </w:pPr>
      <w:r w:rsidRPr="00125DF7">
        <w:rPr>
          <w:rFonts w:ascii="Calibri" w:hAnsi="Calibri" w:cs="Calibri"/>
          <w:color w:val="000000"/>
          <w:u w:val="single"/>
        </w:rPr>
        <w:t xml:space="preserve">Evidence for </w:t>
      </w:r>
      <w:r w:rsidRPr="00125DF7">
        <w:rPr>
          <w:rFonts w:ascii="Calibri" w:hAnsi="Calibri" w:cs="Calibri"/>
          <w:b/>
          <w:bCs/>
          <w:color w:val="000000"/>
          <w:u w:val="single"/>
        </w:rPr>
        <w:t xml:space="preserve">Statin Use </w:t>
      </w:r>
    </w:p>
    <w:p w:rsidR="003F3D0C" w:rsidRPr="003F3D0C" w:rsidRDefault="003F3D0C" w:rsidP="003F3D0C">
      <w:pPr>
        <w:autoSpaceDE w:val="0"/>
        <w:autoSpaceDN w:val="0"/>
        <w:adjustRightInd w:val="0"/>
        <w:spacing w:after="0" w:line="240" w:lineRule="auto"/>
        <w:rPr>
          <w:rFonts w:ascii="Calibri" w:hAnsi="Calibri" w:cs="Times New Roman"/>
          <w:sz w:val="24"/>
          <w:szCs w:val="24"/>
        </w:rPr>
      </w:pPr>
    </w:p>
    <w:p w:rsidR="003F3D0C" w:rsidRPr="002A42D0" w:rsidRDefault="003F3D0C" w:rsidP="002A42D0">
      <w:pPr>
        <w:pStyle w:val="ListParagraph"/>
        <w:numPr>
          <w:ilvl w:val="0"/>
          <w:numId w:val="12"/>
        </w:numPr>
        <w:autoSpaceDE w:val="0"/>
        <w:autoSpaceDN w:val="0"/>
        <w:adjustRightInd w:val="0"/>
        <w:spacing w:after="0" w:line="240" w:lineRule="auto"/>
        <w:rPr>
          <w:rFonts w:cstheme="minorHAnsi"/>
        </w:rPr>
      </w:pPr>
      <w:r w:rsidRPr="002A42D0">
        <w:rPr>
          <w:rFonts w:cstheme="minorHAnsi"/>
        </w:rPr>
        <w:t xml:space="preserve">The evidence for this component measure is derived from the 2013 ACC/AHA Guideline on the Treatment of Blood Cholesterol to Reduce Atherosclerotic Cardiovascular Risk in Adults. </w:t>
      </w:r>
    </w:p>
    <w:p w:rsidR="002A42D0" w:rsidRPr="002A42D0" w:rsidRDefault="00CF6E58" w:rsidP="002A42D0">
      <w:pPr>
        <w:autoSpaceDE w:val="0"/>
        <w:autoSpaceDN w:val="0"/>
        <w:adjustRightInd w:val="0"/>
        <w:ind w:left="1800"/>
        <w:rPr>
          <w:i/>
        </w:rPr>
      </w:pPr>
      <w:hyperlink r:id="rId11" w:history="1">
        <w:r w:rsidR="002A42D0" w:rsidRPr="002A42D0">
          <w:rPr>
            <w:rStyle w:val="Hyperlink"/>
            <w:i/>
          </w:rPr>
          <w:t>https://circ.ahajournals.org/content/early/2013/11/11/01.cir.0000437738.63853.7a.full.pdf</w:t>
        </w:r>
      </w:hyperlink>
    </w:p>
    <w:p w:rsidR="003F3D0C" w:rsidRPr="002A42D0" w:rsidRDefault="003F3D0C" w:rsidP="002A42D0">
      <w:pPr>
        <w:pStyle w:val="ListParagraph"/>
        <w:numPr>
          <w:ilvl w:val="0"/>
          <w:numId w:val="12"/>
        </w:numPr>
        <w:autoSpaceDE w:val="0"/>
        <w:autoSpaceDN w:val="0"/>
        <w:adjustRightInd w:val="0"/>
        <w:spacing w:after="0" w:line="240" w:lineRule="auto"/>
        <w:rPr>
          <w:rFonts w:cstheme="minorHAnsi"/>
        </w:rPr>
      </w:pPr>
      <w:r w:rsidRPr="002A42D0">
        <w:rPr>
          <w:rFonts w:cstheme="minorHAnsi"/>
        </w:rPr>
        <w:t xml:space="preserve">The specific guideline recommendation is as follows: </w:t>
      </w:r>
    </w:p>
    <w:p w:rsidR="002A42D0" w:rsidRPr="002A42D0" w:rsidRDefault="003F3D0C" w:rsidP="002A42D0">
      <w:pPr>
        <w:pStyle w:val="ListParagraph"/>
        <w:numPr>
          <w:ilvl w:val="1"/>
          <w:numId w:val="12"/>
        </w:numPr>
        <w:autoSpaceDE w:val="0"/>
        <w:autoSpaceDN w:val="0"/>
        <w:adjustRightInd w:val="0"/>
        <w:spacing w:after="0" w:line="240" w:lineRule="auto"/>
        <w:rPr>
          <w:rFonts w:eastAsia="MS Mincho" w:cstheme="minorHAnsi"/>
        </w:rPr>
      </w:pPr>
      <w:r w:rsidRPr="002A42D0">
        <w:rPr>
          <w:rFonts w:cstheme="minorHAnsi"/>
        </w:rPr>
        <w:t xml:space="preserve">Goal: High-intensity statin therapy should be initiated or continued as first-line therapy in women and men </w:t>
      </w:r>
      <w:r w:rsidRPr="002A42D0">
        <w:rPr>
          <w:rFonts w:eastAsia="MS Mincho" w:cstheme="minorHAnsi"/>
        </w:rPr>
        <w:t xml:space="preserve">≤75 years of age who have clinical ASCVD, unless contraindicated. </w:t>
      </w:r>
    </w:p>
    <w:p w:rsidR="002A42D0" w:rsidRDefault="002A42D0" w:rsidP="002A42D0">
      <w:pPr>
        <w:autoSpaceDE w:val="0"/>
        <w:autoSpaceDN w:val="0"/>
        <w:adjustRightInd w:val="0"/>
        <w:spacing w:after="0" w:line="240" w:lineRule="auto"/>
        <w:ind w:left="2160"/>
        <w:rPr>
          <w:rFonts w:eastAsia="MS Mincho" w:cstheme="minorHAnsi"/>
        </w:rPr>
      </w:pPr>
    </w:p>
    <w:p w:rsidR="003F3D0C" w:rsidRPr="002A42D0" w:rsidRDefault="003F3D0C" w:rsidP="002A42D0">
      <w:pPr>
        <w:pStyle w:val="ListParagraph"/>
        <w:numPr>
          <w:ilvl w:val="0"/>
          <w:numId w:val="14"/>
        </w:numPr>
        <w:autoSpaceDE w:val="0"/>
        <w:autoSpaceDN w:val="0"/>
        <w:adjustRightInd w:val="0"/>
        <w:spacing w:after="0" w:line="240" w:lineRule="auto"/>
        <w:rPr>
          <w:rFonts w:eastAsia="MS Mincho" w:cstheme="minorHAnsi"/>
        </w:rPr>
      </w:pPr>
      <w:r w:rsidRPr="002A42D0">
        <w:rPr>
          <w:rFonts w:eastAsia="MS Mincho" w:cstheme="minorHAnsi"/>
        </w:rPr>
        <w:t xml:space="preserve">This recommendation has an NHLBI grade of A (Strong), meaning there is high certainty based on evidence that the net benefit is substantial. </w:t>
      </w:r>
      <w:r w:rsidR="002A42D0" w:rsidRPr="002A42D0">
        <w:rPr>
          <w:rFonts w:eastAsia="MS Mincho" w:cstheme="minorHAnsi"/>
        </w:rPr>
        <w:t xml:space="preserve"> </w:t>
      </w:r>
      <w:r w:rsidRPr="002A42D0">
        <w:rPr>
          <w:rFonts w:eastAsia="MS Mincho" w:cstheme="minorHAnsi"/>
        </w:rPr>
        <w:t xml:space="preserve">Within the ACC/AHA grading system, this is a </w:t>
      </w:r>
      <w:r w:rsidRPr="002A42D0">
        <w:rPr>
          <w:rFonts w:eastAsia="MS Mincho" w:cstheme="minorHAnsi"/>
          <w:b/>
          <w:bCs/>
        </w:rPr>
        <w:t xml:space="preserve">Class I </w:t>
      </w:r>
      <w:r w:rsidRPr="002A42D0">
        <w:rPr>
          <w:rFonts w:eastAsia="MS Mincho" w:cstheme="minorHAnsi"/>
        </w:rPr>
        <w:t xml:space="preserve">recommendation (defined as a condition for which there is evidence and/or general agreement that a given procedure or treatment is useful and effective) with </w:t>
      </w:r>
      <w:r w:rsidRPr="002A42D0">
        <w:rPr>
          <w:rFonts w:eastAsia="MS Mincho" w:cstheme="minorHAnsi"/>
          <w:b/>
          <w:bCs/>
        </w:rPr>
        <w:t xml:space="preserve">level of evidence A </w:t>
      </w:r>
      <w:r w:rsidRPr="002A42D0">
        <w:rPr>
          <w:rFonts w:eastAsia="MS Mincho" w:cstheme="minorHAnsi"/>
        </w:rPr>
        <w:t xml:space="preserve">(defined as a recommendation based on evidence from multiple randomized trials or meta-analyses). </w:t>
      </w:r>
      <w:r w:rsidR="002A42D0" w:rsidRPr="002A42D0">
        <w:rPr>
          <w:rFonts w:eastAsia="MS Mincho" w:cstheme="minorHAnsi"/>
        </w:rPr>
        <w:t>T</w:t>
      </w:r>
      <w:r w:rsidRPr="002A42D0">
        <w:rPr>
          <w:rFonts w:eastAsia="MS Mincho" w:cstheme="minorHAnsi"/>
        </w:rPr>
        <w:t xml:space="preserve">he evidence supporting this guideline recommendation is derived from five randomized controlled trials (RCTs), as well as systematic reviews and meta-analyses of RCTs. </w:t>
      </w:r>
      <w:r w:rsidR="002A42D0" w:rsidRPr="002A42D0">
        <w:rPr>
          <w:rFonts w:eastAsia="MS Mincho" w:cstheme="minorHAnsi"/>
        </w:rPr>
        <w:t xml:space="preserve"> T</w:t>
      </w:r>
      <w:r w:rsidRPr="002A42D0">
        <w:rPr>
          <w:rFonts w:eastAsia="MS Mincho" w:cstheme="minorHAnsi"/>
        </w:rPr>
        <w:t xml:space="preserve">he findings of the systematic evidence review support the use of statins to prevent both nonfatal and fatal atherosclerotic cardiovascular disease (ASCVD) events, noting that the review found a high level of evidence indicating that statins reduce total mortality in individuals with a history of prior ASCVD events, and moderate evidence that statins reduce total mortality in individuals who have no prior history of ASCVD events but are at increased ASCVD risk. </w:t>
      </w:r>
    </w:p>
    <w:p w:rsidR="003F3D0C" w:rsidRPr="00125DF7" w:rsidRDefault="003F3D0C" w:rsidP="00125DF7">
      <w:pPr>
        <w:autoSpaceDE w:val="0"/>
        <w:autoSpaceDN w:val="0"/>
        <w:adjustRightInd w:val="0"/>
        <w:spacing w:after="0" w:line="240" w:lineRule="auto"/>
        <w:ind w:left="1440"/>
        <w:rPr>
          <w:rFonts w:ascii="Calibri" w:hAnsi="Calibri" w:cs="Calibri"/>
          <w:color w:val="000000"/>
          <w:u w:val="single"/>
        </w:rPr>
      </w:pPr>
    </w:p>
    <w:p w:rsidR="00EE676B" w:rsidRPr="00EE676B" w:rsidRDefault="00EE676B" w:rsidP="00125DF7">
      <w:pPr>
        <w:pStyle w:val="ListParagraph"/>
        <w:autoSpaceDE w:val="0"/>
        <w:autoSpaceDN w:val="0"/>
        <w:adjustRightInd w:val="0"/>
        <w:spacing w:after="0" w:line="240" w:lineRule="auto"/>
        <w:ind w:left="1800"/>
        <w:rPr>
          <w:rFonts w:ascii="Calibri" w:hAnsi="Calibri" w:cs="Times New Roman"/>
        </w:rPr>
      </w:pPr>
    </w:p>
    <w:p w:rsidR="00300FD4" w:rsidRPr="00300FD4" w:rsidRDefault="00300FD4" w:rsidP="00300FD4">
      <w:pPr>
        <w:pStyle w:val="ListParagraph"/>
        <w:numPr>
          <w:ilvl w:val="0"/>
          <w:numId w:val="1"/>
        </w:numPr>
      </w:pPr>
      <w:r w:rsidRPr="00300FD4">
        <w:rPr>
          <w:b/>
        </w:rPr>
        <w:t>Reliability/Validity</w:t>
      </w:r>
      <w:r w:rsidRPr="00300FD4">
        <w:t xml:space="preserve"> (If applicable)</w:t>
      </w:r>
    </w:p>
    <w:p w:rsidR="00F82044" w:rsidRPr="00F82044" w:rsidRDefault="00300FD4" w:rsidP="00F82044">
      <w:pPr>
        <w:pStyle w:val="Default"/>
        <w:numPr>
          <w:ilvl w:val="0"/>
          <w:numId w:val="14"/>
        </w:numPr>
        <w:rPr>
          <w:rFonts w:asciiTheme="minorHAnsi" w:hAnsiTheme="minorHAnsi" w:cstheme="minorHAnsi"/>
          <w:sz w:val="22"/>
          <w:szCs w:val="22"/>
        </w:rPr>
      </w:pPr>
      <w:r w:rsidRPr="00300FD4">
        <w:rPr>
          <w:i/>
          <w:color w:val="FF0000"/>
        </w:rPr>
        <w:t>Has it been tested?</w:t>
      </w:r>
      <w:r w:rsidR="0065637C">
        <w:rPr>
          <w:i/>
          <w:color w:val="FF0000"/>
        </w:rPr>
        <w:t xml:space="preserve">  </w:t>
      </w:r>
      <w:r w:rsidR="0065637C">
        <w:rPr>
          <w:color w:val="FF0000"/>
        </w:rPr>
        <w:t xml:space="preserve"> </w:t>
      </w:r>
      <w:r w:rsidR="0065637C" w:rsidRPr="00F82044">
        <w:rPr>
          <w:rFonts w:asciiTheme="minorHAnsi" w:hAnsiTheme="minorHAnsi" w:cstheme="minorHAnsi"/>
          <w:sz w:val="22"/>
          <w:szCs w:val="22"/>
        </w:rPr>
        <w:t xml:space="preserve">Yes. </w:t>
      </w:r>
      <w:r w:rsidR="00F82044" w:rsidRPr="00F82044">
        <w:rPr>
          <w:rFonts w:asciiTheme="minorHAnsi" w:hAnsiTheme="minorHAnsi" w:cstheme="minorHAnsi"/>
          <w:sz w:val="22"/>
          <w:szCs w:val="22"/>
        </w:rPr>
        <w:t xml:space="preserve"> A background of WCHQ’s Reporting Activities is as follows: </w:t>
      </w:r>
    </w:p>
    <w:p w:rsidR="00F82044" w:rsidRDefault="00F82044" w:rsidP="00F82044">
      <w:pPr>
        <w:pStyle w:val="Default"/>
        <w:numPr>
          <w:ilvl w:val="0"/>
          <w:numId w:val="14"/>
        </w:numPr>
        <w:rPr>
          <w:rFonts w:asciiTheme="minorHAnsi" w:hAnsiTheme="minorHAnsi" w:cstheme="minorHAnsi"/>
          <w:sz w:val="22"/>
          <w:szCs w:val="22"/>
        </w:rPr>
      </w:pPr>
      <w:r w:rsidRPr="00F82044">
        <w:rPr>
          <w:rFonts w:asciiTheme="minorHAnsi" w:hAnsiTheme="minorHAnsi" w:cstheme="minorHAnsi"/>
          <w:sz w:val="22"/>
          <w:szCs w:val="22"/>
        </w:rPr>
        <w:lastRenderedPageBreak/>
        <w:t>WCHQ is a voluntary, non-profit (501c3) consortium of organizations committed to using the public reporting of comparative measures of performance to catalyze improvements in the quality and affordability of healthcare, as well as the health status of individuals and communities, in Wisconsin. In addition, WCHQ designs and facilitates collaborative learning sessions to promote the active sharing of “best practices” in an effort to elevate and accelerate improvement across the state. WCHQ has received national recognition for its work and has made numerous contributions to the emerging evidence base on the science of measurement and reporting. Equally important, WCHQ and the healthcare provider organizations within its membership have directly contributed to a significant improvement in the quality of care, as reflected in the measures reported via the WCHQ website (</w:t>
      </w:r>
      <w:r w:rsidRPr="00F82044">
        <w:rPr>
          <w:rFonts w:asciiTheme="minorHAnsi" w:hAnsiTheme="minorHAnsi" w:cstheme="minorHAnsi"/>
          <w:color w:val="0000FF"/>
          <w:sz w:val="22"/>
          <w:szCs w:val="22"/>
        </w:rPr>
        <w:t>www.wchq.org</w:t>
      </w:r>
      <w:r w:rsidRPr="00F82044">
        <w:rPr>
          <w:rFonts w:asciiTheme="minorHAnsi" w:hAnsiTheme="minorHAnsi" w:cstheme="minorHAnsi"/>
          <w:sz w:val="22"/>
          <w:szCs w:val="22"/>
        </w:rPr>
        <w:t xml:space="preserve">). Peer-reviewed research has shown that WCHQ’s public reporting has played a significant role in catalyzing quality improvement among the physician groups in Wisconsin. WCHQ has a total of 38 </w:t>
      </w:r>
      <w:proofErr w:type="gramStart"/>
      <w:r w:rsidRPr="00F82044">
        <w:rPr>
          <w:rFonts w:asciiTheme="minorHAnsi" w:hAnsiTheme="minorHAnsi" w:cstheme="minorHAnsi"/>
          <w:sz w:val="22"/>
          <w:szCs w:val="22"/>
        </w:rPr>
        <w:t>members</w:t>
      </w:r>
      <w:proofErr w:type="gramEnd"/>
      <w:r w:rsidRPr="00F82044">
        <w:rPr>
          <w:rFonts w:asciiTheme="minorHAnsi" w:hAnsiTheme="minorHAnsi" w:cstheme="minorHAnsi"/>
          <w:sz w:val="22"/>
          <w:szCs w:val="22"/>
        </w:rPr>
        <w:t xml:space="preserve"> organizations, representing approximately 65% of the physicians licensed to practice in Wisconsin. </w:t>
      </w:r>
    </w:p>
    <w:p w:rsidR="00F82044" w:rsidRPr="00F82044" w:rsidRDefault="00F82044" w:rsidP="00F82044">
      <w:pPr>
        <w:pStyle w:val="Default"/>
        <w:numPr>
          <w:ilvl w:val="0"/>
          <w:numId w:val="14"/>
        </w:numPr>
        <w:rPr>
          <w:rFonts w:asciiTheme="minorHAnsi" w:hAnsiTheme="minorHAnsi" w:cstheme="minorHAnsi"/>
          <w:sz w:val="22"/>
          <w:szCs w:val="22"/>
        </w:rPr>
      </w:pPr>
      <w:r w:rsidRPr="00F82044">
        <w:rPr>
          <w:rFonts w:asciiTheme="minorHAnsi" w:hAnsiTheme="minorHAnsi" w:cstheme="minorHAnsi"/>
          <w:sz w:val="22"/>
          <w:szCs w:val="22"/>
        </w:rPr>
        <w:t xml:space="preserve">Dataset Background: An existing data set was used. WCHQ members submit data in one of two ways as follows: </w:t>
      </w:r>
    </w:p>
    <w:p w:rsidR="00F82044" w:rsidRPr="00F82044" w:rsidRDefault="00F82044" w:rsidP="00F82044">
      <w:pPr>
        <w:autoSpaceDE w:val="0"/>
        <w:autoSpaceDN w:val="0"/>
        <w:adjustRightInd w:val="0"/>
        <w:spacing w:after="0" w:line="240" w:lineRule="auto"/>
        <w:ind w:left="1800"/>
        <w:rPr>
          <w:rFonts w:cstheme="minorHAnsi"/>
          <w:color w:val="000000"/>
        </w:rPr>
      </w:pPr>
      <w:r w:rsidRPr="00F82044">
        <w:rPr>
          <w:rFonts w:cstheme="minorHAnsi"/>
          <w:color w:val="000000"/>
          <w:u w:val="single"/>
        </w:rPr>
        <w:t>Repository Based Submission (RBS)</w:t>
      </w:r>
      <w:r w:rsidRPr="00F82044">
        <w:rPr>
          <w:rFonts w:cstheme="minorHAnsi"/>
          <w:color w:val="000000"/>
        </w:rPr>
        <w:t xml:space="preserve">: </w:t>
      </w:r>
    </w:p>
    <w:p w:rsidR="00F82044" w:rsidRPr="00F82044" w:rsidRDefault="00F82044" w:rsidP="00F82044">
      <w:pPr>
        <w:autoSpaceDE w:val="0"/>
        <w:autoSpaceDN w:val="0"/>
        <w:adjustRightInd w:val="0"/>
        <w:spacing w:after="27" w:line="240" w:lineRule="auto"/>
        <w:ind w:left="2160"/>
        <w:rPr>
          <w:rFonts w:cstheme="minorHAnsi"/>
          <w:color w:val="000000"/>
        </w:rPr>
      </w:pPr>
      <w:proofErr w:type="gramStart"/>
      <w:r w:rsidRPr="00F82044">
        <w:rPr>
          <w:rFonts w:cstheme="minorHAnsi"/>
          <w:color w:val="000000"/>
        </w:rPr>
        <w:t>o</w:t>
      </w:r>
      <w:proofErr w:type="gramEnd"/>
      <w:r w:rsidRPr="00F82044">
        <w:rPr>
          <w:rFonts w:cstheme="minorHAnsi"/>
          <w:color w:val="000000"/>
        </w:rPr>
        <w:t xml:space="preserve"> WCHQ members submit global patient level files of patient demographic, encounter, and clinical (labs, other tests, tobacco related elements, blood pressure dates and results, medications) data into the data repository through a secure, HIPAA compliant portal. See the attached RBS File Formats document for complete documentation on data elements and file formats in Appendix A. </w:t>
      </w:r>
    </w:p>
    <w:p w:rsidR="00F82044" w:rsidRPr="00F82044" w:rsidRDefault="00F82044" w:rsidP="00F82044">
      <w:pPr>
        <w:autoSpaceDE w:val="0"/>
        <w:autoSpaceDN w:val="0"/>
        <w:adjustRightInd w:val="0"/>
        <w:spacing w:after="27" w:line="240" w:lineRule="auto"/>
        <w:ind w:left="2160"/>
        <w:rPr>
          <w:rFonts w:cstheme="minorHAnsi"/>
          <w:color w:val="000000"/>
        </w:rPr>
      </w:pPr>
      <w:proofErr w:type="gramStart"/>
      <w:r w:rsidRPr="00F82044">
        <w:rPr>
          <w:rFonts w:cstheme="minorHAnsi"/>
          <w:color w:val="000000"/>
        </w:rPr>
        <w:t>o</w:t>
      </w:r>
      <w:proofErr w:type="gramEnd"/>
      <w:r w:rsidRPr="00F82044">
        <w:rPr>
          <w:rFonts w:cstheme="minorHAnsi"/>
          <w:color w:val="000000"/>
        </w:rPr>
        <w:t xml:space="preserve"> Certain data elements that are unique to a given organization are mapped within the data tool to be recognized as a standard data element. Data can be normalized prior to upload to ensure that data is clean in certain cases, i.e. a lab test should be the final result. </w:t>
      </w:r>
    </w:p>
    <w:p w:rsidR="00FE6139" w:rsidRDefault="00F82044" w:rsidP="00F82044">
      <w:pPr>
        <w:autoSpaceDE w:val="0"/>
        <w:autoSpaceDN w:val="0"/>
        <w:adjustRightInd w:val="0"/>
        <w:spacing w:after="0" w:line="240" w:lineRule="auto"/>
        <w:ind w:left="2160"/>
        <w:rPr>
          <w:rFonts w:cstheme="minorHAnsi"/>
          <w:color w:val="0000FF"/>
        </w:rPr>
      </w:pPr>
      <w:proofErr w:type="gramStart"/>
      <w:r w:rsidRPr="00F82044">
        <w:rPr>
          <w:rFonts w:cstheme="minorHAnsi"/>
          <w:color w:val="000000"/>
        </w:rPr>
        <w:t>o</w:t>
      </w:r>
      <w:proofErr w:type="gramEnd"/>
      <w:r w:rsidRPr="00F82044">
        <w:rPr>
          <w:rFonts w:cstheme="minorHAnsi"/>
          <w:color w:val="000000"/>
        </w:rPr>
        <w:t xml:space="preserve"> The RBS tool’s centrally programmed measure specifications calculate performance results for internal use by the member organization, for purposes of PQRS reporting to CMS, and for reporting on WCHQ’s public website-</w:t>
      </w:r>
      <w:hyperlink r:id="rId12" w:history="1">
        <w:r w:rsidRPr="00FE6139">
          <w:rPr>
            <w:rStyle w:val="Hyperlink"/>
            <w:rFonts w:cstheme="minorHAnsi"/>
          </w:rPr>
          <w:t>http://www.wchq.org/reporting/results.php?category_id=0&amp;topic_id=27&amp;source_id=0&amp;providerType=0&amp;region=0&amp;measure_id=205</w:t>
        </w:r>
      </w:hyperlink>
    </w:p>
    <w:p w:rsidR="00F82044" w:rsidRPr="00F82044" w:rsidRDefault="00F82044" w:rsidP="00F82044">
      <w:pPr>
        <w:autoSpaceDE w:val="0"/>
        <w:autoSpaceDN w:val="0"/>
        <w:adjustRightInd w:val="0"/>
        <w:spacing w:after="0" w:line="240" w:lineRule="auto"/>
        <w:ind w:left="2160"/>
        <w:rPr>
          <w:rFonts w:cstheme="minorHAnsi"/>
          <w:color w:val="0000FF"/>
        </w:rPr>
      </w:pPr>
      <w:r w:rsidRPr="00F82044">
        <w:rPr>
          <w:rFonts w:cstheme="minorHAnsi"/>
          <w:color w:val="0000FF"/>
        </w:rPr>
        <w:t xml:space="preserve"> </w:t>
      </w:r>
    </w:p>
    <w:p w:rsidR="00F82044" w:rsidRPr="00F82044" w:rsidRDefault="00F82044" w:rsidP="00F82044">
      <w:pPr>
        <w:autoSpaceDE w:val="0"/>
        <w:autoSpaceDN w:val="0"/>
        <w:adjustRightInd w:val="0"/>
        <w:spacing w:after="0" w:line="240" w:lineRule="auto"/>
        <w:ind w:left="1440"/>
        <w:rPr>
          <w:rFonts w:cstheme="minorHAnsi"/>
          <w:color w:val="000000"/>
          <w:u w:val="single"/>
        </w:rPr>
      </w:pPr>
      <w:r w:rsidRPr="00F82044">
        <w:rPr>
          <w:rFonts w:cstheme="minorHAnsi"/>
          <w:color w:val="000000"/>
          <w:u w:val="single"/>
        </w:rPr>
        <w:t xml:space="preserve">Alternative Data Submission Method: </w:t>
      </w:r>
    </w:p>
    <w:p w:rsidR="00F82044" w:rsidRPr="00F82044" w:rsidRDefault="00F82044" w:rsidP="00F82044">
      <w:pPr>
        <w:autoSpaceDE w:val="0"/>
        <w:autoSpaceDN w:val="0"/>
        <w:adjustRightInd w:val="0"/>
        <w:spacing w:after="0" w:line="240" w:lineRule="auto"/>
        <w:ind w:left="1800"/>
        <w:rPr>
          <w:rFonts w:cstheme="minorHAnsi"/>
          <w:color w:val="000000"/>
        </w:rPr>
      </w:pPr>
      <w:proofErr w:type="gramStart"/>
      <w:r w:rsidRPr="00F82044">
        <w:rPr>
          <w:rFonts w:cstheme="minorHAnsi"/>
          <w:color w:val="000000"/>
        </w:rPr>
        <w:t>o</w:t>
      </w:r>
      <w:proofErr w:type="gramEnd"/>
      <w:r w:rsidRPr="00F82044">
        <w:rPr>
          <w:rFonts w:cstheme="minorHAnsi"/>
          <w:color w:val="000000"/>
        </w:rPr>
        <w:t xml:space="preserve"> WCHQ members use detailed measure specifications to program measures internally and submit aggregate denominator and numerator data to WCHQ’s web-based reporting tool for reporting results on WCHQ’s public website. De-identified patient level data is additionally submitted for validation purposes. </w:t>
      </w:r>
    </w:p>
    <w:p w:rsidR="00F82044" w:rsidRDefault="00F82044" w:rsidP="00F82044">
      <w:pPr>
        <w:pStyle w:val="Default"/>
        <w:ind w:left="1080"/>
        <w:rPr>
          <w:rFonts w:asciiTheme="minorHAnsi" w:hAnsiTheme="minorHAnsi" w:cstheme="minorHAnsi"/>
          <w:sz w:val="22"/>
          <w:szCs w:val="22"/>
        </w:rPr>
      </w:pPr>
    </w:p>
    <w:p w:rsidR="00F82044" w:rsidRPr="00F82044" w:rsidRDefault="00F82044" w:rsidP="00F82044">
      <w:pPr>
        <w:pStyle w:val="Default"/>
        <w:ind w:left="1440"/>
        <w:rPr>
          <w:rFonts w:asciiTheme="minorHAnsi" w:hAnsiTheme="minorHAnsi" w:cstheme="minorHAnsi"/>
          <w:sz w:val="22"/>
          <w:szCs w:val="22"/>
        </w:rPr>
      </w:pPr>
      <w:r w:rsidRPr="00F82044">
        <w:rPr>
          <w:rFonts w:asciiTheme="minorHAnsi" w:hAnsiTheme="minorHAnsi" w:cstheme="minorHAnsi"/>
          <w:sz w:val="22"/>
          <w:szCs w:val="22"/>
        </w:rPr>
        <w:t xml:space="preserve">Testing for the IVD Care All or None Optimal Control measure involved the following:  </w:t>
      </w:r>
    </w:p>
    <w:p w:rsidR="00F82044" w:rsidRDefault="00F82044" w:rsidP="00F82044">
      <w:pPr>
        <w:pStyle w:val="ListParagraph"/>
        <w:numPr>
          <w:ilvl w:val="0"/>
          <w:numId w:val="15"/>
        </w:numPr>
        <w:autoSpaceDE w:val="0"/>
        <w:autoSpaceDN w:val="0"/>
        <w:adjustRightInd w:val="0"/>
        <w:spacing w:after="44" w:line="240" w:lineRule="auto"/>
        <w:rPr>
          <w:rFonts w:cstheme="minorHAnsi"/>
          <w:color w:val="000000"/>
        </w:rPr>
      </w:pPr>
      <w:r w:rsidRPr="00F82044">
        <w:rPr>
          <w:rFonts w:cstheme="minorHAnsi"/>
          <w:color w:val="000000"/>
        </w:rPr>
        <w:t xml:space="preserve">50,758 patients in the population denominator at the group level </w:t>
      </w:r>
    </w:p>
    <w:p w:rsidR="00F82044" w:rsidRDefault="00F82044" w:rsidP="00F82044">
      <w:pPr>
        <w:pStyle w:val="ListParagraph"/>
        <w:numPr>
          <w:ilvl w:val="0"/>
          <w:numId w:val="15"/>
        </w:numPr>
        <w:autoSpaceDE w:val="0"/>
        <w:autoSpaceDN w:val="0"/>
        <w:adjustRightInd w:val="0"/>
        <w:spacing w:after="44" w:line="240" w:lineRule="auto"/>
        <w:rPr>
          <w:rFonts w:cstheme="minorHAnsi"/>
          <w:color w:val="000000"/>
        </w:rPr>
      </w:pPr>
      <w:r w:rsidRPr="00F82044">
        <w:rPr>
          <w:rFonts w:cstheme="minorHAnsi"/>
          <w:color w:val="000000"/>
        </w:rPr>
        <w:t xml:space="preserve">17 WCHQ member organizations (group level) publicly reported this measure </w:t>
      </w:r>
    </w:p>
    <w:p w:rsidR="00F82044" w:rsidRDefault="00F82044" w:rsidP="00F82044">
      <w:pPr>
        <w:pStyle w:val="ListParagraph"/>
        <w:numPr>
          <w:ilvl w:val="0"/>
          <w:numId w:val="15"/>
        </w:numPr>
        <w:autoSpaceDE w:val="0"/>
        <w:autoSpaceDN w:val="0"/>
        <w:adjustRightInd w:val="0"/>
        <w:spacing w:after="44" w:line="240" w:lineRule="auto"/>
        <w:rPr>
          <w:rFonts w:cstheme="minorHAnsi"/>
          <w:color w:val="000000"/>
        </w:rPr>
      </w:pPr>
      <w:r w:rsidRPr="00F82044">
        <w:rPr>
          <w:rFonts w:cstheme="minorHAnsi"/>
          <w:color w:val="000000"/>
        </w:rPr>
        <w:t xml:space="preserve">121 member clinic sites reported on 42,290 patients. This number is smaller than the group level patient number because at the clinic site level there must be a minimum of 100 patients in the denominator at each clinic in order to report to avoid variance in results that could occur with a smaller minimum. </w:t>
      </w:r>
    </w:p>
    <w:p w:rsidR="00F82044" w:rsidRPr="00F82044" w:rsidRDefault="00F82044" w:rsidP="00FE6139">
      <w:pPr>
        <w:autoSpaceDE w:val="0"/>
        <w:autoSpaceDN w:val="0"/>
        <w:adjustRightInd w:val="0"/>
        <w:spacing w:after="44" w:line="240" w:lineRule="auto"/>
        <w:ind w:left="2160"/>
        <w:rPr>
          <w:rFonts w:cstheme="minorHAnsi"/>
          <w:color w:val="000000"/>
        </w:rPr>
      </w:pPr>
      <w:r w:rsidRPr="00F82044">
        <w:rPr>
          <w:rFonts w:cstheme="minorHAnsi"/>
          <w:color w:val="000000"/>
        </w:rPr>
        <w:t xml:space="preserve">15 groups reported all electronically (Total Population) and 2 groups reported using the random sample methodology. </w:t>
      </w:r>
    </w:p>
    <w:p w:rsidR="00F82044" w:rsidRPr="00F82044" w:rsidRDefault="00F82044" w:rsidP="00F82044">
      <w:pPr>
        <w:autoSpaceDE w:val="0"/>
        <w:autoSpaceDN w:val="0"/>
        <w:adjustRightInd w:val="0"/>
        <w:spacing w:after="0" w:line="240" w:lineRule="auto"/>
        <w:rPr>
          <w:rFonts w:ascii="Times New Roman" w:hAnsi="Times New Roman" w:cs="Times New Roman"/>
          <w:color w:val="000000"/>
          <w:sz w:val="23"/>
          <w:szCs w:val="23"/>
        </w:rPr>
      </w:pPr>
    </w:p>
    <w:p w:rsidR="00300FD4" w:rsidRPr="00FE6139" w:rsidRDefault="00F82044" w:rsidP="00F82044">
      <w:pPr>
        <w:pStyle w:val="ListParagraph"/>
        <w:numPr>
          <w:ilvl w:val="0"/>
          <w:numId w:val="5"/>
        </w:numPr>
        <w:rPr>
          <w:i/>
        </w:rPr>
      </w:pPr>
      <w:r w:rsidRPr="00F82044">
        <w:rPr>
          <w:rFonts w:ascii="Times New Roman" w:hAnsi="Times New Roman" w:cs="Times New Roman"/>
          <w:b/>
          <w:bCs/>
          <w:color w:val="000000"/>
          <w:sz w:val="23"/>
          <w:szCs w:val="23"/>
        </w:rPr>
        <w:t>1.3. What are the dates of the data used in testing</w:t>
      </w:r>
      <w:r w:rsidRPr="00FE6139">
        <w:rPr>
          <w:rFonts w:ascii="Times New Roman" w:hAnsi="Times New Roman" w:cs="Times New Roman"/>
          <w:sz w:val="23"/>
          <w:szCs w:val="23"/>
        </w:rPr>
        <w:t xml:space="preserve">? </w:t>
      </w:r>
      <w:r w:rsidR="00FE6139" w:rsidRPr="00FE6139">
        <w:rPr>
          <w:sz w:val="23"/>
          <w:szCs w:val="23"/>
        </w:rPr>
        <w:t xml:space="preserve"> </w:t>
      </w:r>
      <w:r w:rsidR="00FE6139" w:rsidRPr="00FE6139">
        <w:rPr>
          <w:rFonts w:ascii="Calibri" w:hAnsi="Calibri" w:cs="Calibri"/>
        </w:rPr>
        <w:t>01/01/2013-12/31/2014</w:t>
      </w:r>
    </w:p>
    <w:p w:rsidR="00FE6139" w:rsidRDefault="00FE6139" w:rsidP="00FE6139">
      <w:pPr>
        <w:pStyle w:val="ListParagraph"/>
        <w:ind w:left="1440"/>
        <w:rPr>
          <w:i/>
          <w:color w:val="FF0000"/>
        </w:rPr>
      </w:pPr>
    </w:p>
    <w:p w:rsidR="00300FD4" w:rsidRDefault="00300FD4" w:rsidP="00300FD4">
      <w:pPr>
        <w:pStyle w:val="ListParagraph"/>
        <w:numPr>
          <w:ilvl w:val="0"/>
          <w:numId w:val="5"/>
        </w:numPr>
        <w:rPr>
          <w:i/>
          <w:color w:val="FF0000"/>
        </w:rPr>
      </w:pPr>
      <w:r w:rsidRPr="00300FD4">
        <w:rPr>
          <w:i/>
          <w:color w:val="FF0000"/>
        </w:rPr>
        <w:t>Is there a minimum sample size for reliability results?</w:t>
      </w:r>
    </w:p>
    <w:p w:rsidR="00102467" w:rsidRPr="00102467" w:rsidRDefault="00102467" w:rsidP="00102467">
      <w:pPr>
        <w:ind w:left="1440"/>
        <w:rPr>
          <w:rFonts w:cstheme="minorHAnsi"/>
        </w:rPr>
      </w:pPr>
      <w:r w:rsidRPr="00102467">
        <w:rPr>
          <w:rFonts w:cstheme="minorHAnsi"/>
        </w:rPr>
        <w:t xml:space="preserve">The WCHQ staff used the methodology outlined by John L. Adams, </w:t>
      </w:r>
      <w:proofErr w:type="spellStart"/>
      <w:r w:rsidRPr="00102467">
        <w:rPr>
          <w:rFonts w:cstheme="minorHAnsi"/>
        </w:rPr>
        <w:t>Ph.D</w:t>
      </w:r>
      <w:proofErr w:type="spellEnd"/>
      <w:r w:rsidRPr="00102467">
        <w:rPr>
          <w:rFonts w:cstheme="minorHAnsi"/>
        </w:rPr>
        <w:t xml:space="preserve"> in his tutorial, “Reliability in Provider Profiling”. Dr. Adams’ methodology was applied to the clinic-level performance of the IVD: All –</w:t>
      </w:r>
      <w:r w:rsidRPr="00102467">
        <w:rPr>
          <w:rFonts w:cstheme="minorHAnsi"/>
        </w:rPr>
        <w:lastRenderedPageBreak/>
        <w:t>or-None measure for clinics with greater than 100 patients in the denominator, and greater than 2 providers attributed to the clinic site, which are the public reporting parameters established by WCHQ.</w:t>
      </w:r>
    </w:p>
    <w:p w:rsidR="00102467" w:rsidRPr="00102467" w:rsidRDefault="00102467" w:rsidP="00102467">
      <w:pPr>
        <w:autoSpaceDE w:val="0"/>
        <w:autoSpaceDN w:val="0"/>
        <w:adjustRightInd w:val="0"/>
        <w:spacing w:after="0" w:line="240" w:lineRule="auto"/>
        <w:ind w:left="1440"/>
        <w:rPr>
          <w:rFonts w:cstheme="minorHAnsi"/>
          <w:color w:val="000000"/>
        </w:rPr>
      </w:pPr>
      <w:r w:rsidRPr="00102467">
        <w:rPr>
          <w:rFonts w:cstheme="minorHAnsi"/>
          <w:color w:val="000000"/>
        </w:rPr>
        <w:t xml:space="preserve">The methodology outlined by Adams’ and used to calculate the average reliability of a WCHQ clinic performance score involves several steps, including: </w:t>
      </w:r>
    </w:p>
    <w:p w:rsidR="00102467" w:rsidRPr="00102467" w:rsidRDefault="00102467" w:rsidP="00102467">
      <w:pPr>
        <w:autoSpaceDE w:val="0"/>
        <w:autoSpaceDN w:val="0"/>
        <w:adjustRightInd w:val="0"/>
        <w:spacing w:after="0" w:line="240" w:lineRule="auto"/>
        <w:ind w:left="1440"/>
        <w:rPr>
          <w:rFonts w:cstheme="minorHAnsi"/>
          <w:color w:val="000000"/>
        </w:rPr>
      </w:pPr>
      <w:r w:rsidRPr="00102467">
        <w:rPr>
          <w:rFonts w:cstheme="minorHAnsi"/>
          <w:color w:val="000000"/>
        </w:rPr>
        <w:t xml:space="preserve">1. The calculation of clinic-to-clinic variance, using the following process: </w:t>
      </w:r>
    </w:p>
    <w:p w:rsidR="00102467" w:rsidRPr="00102467" w:rsidRDefault="00102467" w:rsidP="00102467">
      <w:pPr>
        <w:autoSpaceDE w:val="0"/>
        <w:autoSpaceDN w:val="0"/>
        <w:adjustRightInd w:val="0"/>
        <w:spacing w:after="13" w:line="240" w:lineRule="auto"/>
        <w:ind w:left="2160"/>
        <w:rPr>
          <w:rFonts w:cstheme="minorHAnsi"/>
          <w:color w:val="000000"/>
        </w:rPr>
      </w:pPr>
      <w:r w:rsidRPr="00102467">
        <w:rPr>
          <w:rFonts w:cstheme="minorHAnsi"/>
          <w:color w:val="000000"/>
        </w:rPr>
        <w:t>a. Variance equation: σ2 clinic-to-clinic = (α β) / (α + β + 1</w:t>
      </w:r>
      <w:proofErr w:type="gramStart"/>
      <w:r w:rsidRPr="00102467">
        <w:rPr>
          <w:rFonts w:cstheme="minorHAnsi"/>
          <w:color w:val="000000"/>
        </w:rPr>
        <w:t>)(</w:t>
      </w:r>
      <w:proofErr w:type="gramEnd"/>
      <w:r w:rsidRPr="00102467">
        <w:rPr>
          <w:rFonts w:cstheme="minorHAnsi"/>
          <w:color w:val="000000"/>
        </w:rPr>
        <w:t xml:space="preserve">α + β)2 </w:t>
      </w:r>
    </w:p>
    <w:p w:rsidR="00102467" w:rsidRPr="00102467" w:rsidRDefault="00102467" w:rsidP="00102467">
      <w:pPr>
        <w:autoSpaceDE w:val="0"/>
        <w:autoSpaceDN w:val="0"/>
        <w:adjustRightInd w:val="0"/>
        <w:spacing w:after="13" w:line="240" w:lineRule="auto"/>
        <w:ind w:left="2160"/>
        <w:rPr>
          <w:rFonts w:cstheme="minorHAnsi"/>
          <w:color w:val="000000"/>
        </w:rPr>
      </w:pPr>
      <w:r w:rsidRPr="00102467">
        <w:rPr>
          <w:rFonts w:cstheme="minorHAnsi"/>
          <w:color w:val="000000"/>
        </w:rPr>
        <w:t xml:space="preserve">b. The α and β were calculated using the publicly available beta binomial SAS macro, BETABIN, developed by Qi Statistics </w:t>
      </w:r>
    </w:p>
    <w:p w:rsidR="00102467" w:rsidRPr="00102467" w:rsidRDefault="00102467" w:rsidP="00102467">
      <w:pPr>
        <w:autoSpaceDE w:val="0"/>
        <w:autoSpaceDN w:val="0"/>
        <w:adjustRightInd w:val="0"/>
        <w:spacing w:after="0" w:line="240" w:lineRule="auto"/>
        <w:ind w:left="2160"/>
        <w:rPr>
          <w:rFonts w:cstheme="minorHAnsi"/>
          <w:color w:val="000000"/>
        </w:rPr>
      </w:pPr>
      <w:proofErr w:type="gramStart"/>
      <w:r w:rsidRPr="00102467">
        <w:rPr>
          <w:rFonts w:cstheme="minorHAnsi"/>
          <w:color w:val="000000"/>
        </w:rPr>
        <w:t>c</w:t>
      </w:r>
      <w:proofErr w:type="gramEnd"/>
      <w:r w:rsidRPr="00102467">
        <w:rPr>
          <w:rFonts w:cstheme="minorHAnsi"/>
          <w:color w:val="000000"/>
        </w:rPr>
        <w:t xml:space="preserve">. α = 35.6267, β = 25.0007, σ2 clinic-to-clinic = 0.00393 </w:t>
      </w:r>
    </w:p>
    <w:p w:rsidR="00102467" w:rsidRPr="00102467" w:rsidRDefault="00102467" w:rsidP="00102467">
      <w:pPr>
        <w:autoSpaceDE w:val="0"/>
        <w:autoSpaceDN w:val="0"/>
        <w:adjustRightInd w:val="0"/>
        <w:spacing w:after="0" w:line="240" w:lineRule="auto"/>
        <w:rPr>
          <w:rFonts w:cstheme="minorHAnsi"/>
          <w:color w:val="000000"/>
        </w:rPr>
      </w:pPr>
    </w:p>
    <w:p w:rsidR="00102467" w:rsidRPr="00102467" w:rsidRDefault="00102467" w:rsidP="00102467">
      <w:pPr>
        <w:autoSpaceDE w:val="0"/>
        <w:autoSpaceDN w:val="0"/>
        <w:adjustRightInd w:val="0"/>
        <w:spacing w:after="0" w:line="240" w:lineRule="auto"/>
        <w:ind w:left="1440"/>
        <w:rPr>
          <w:rFonts w:cstheme="minorHAnsi"/>
          <w:color w:val="000000"/>
        </w:rPr>
      </w:pPr>
      <w:r w:rsidRPr="00102467">
        <w:rPr>
          <w:rFonts w:cstheme="minorHAnsi"/>
          <w:color w:val="000000"/>
        </w:rPr>
        <w:t>2. The reliability of each individual clinic, using the equation, Reliability = σ2 / (σ2 + (</w:t>
      </w:r>
      <w:proofErr w:type="gramStart"/>
      <w:r w:rsidRPr="00102467">
        <w:rPr>
          <w:rFonts w:cstheme="minorHAnsi"/>
          <w:color w:val="000000"/>
        </w:rPr>
        <w:t>p(</w:t>
      </w:r>
      <w:proofErr w:type="gramEnd"/>
      <w:r w:rsidRPr="00102467">
        <w:rPr>
          <w:rFonts w:cstheme="minorHAnsi"/>
          <w:color w:val="000000"/>
        </w:rPr>
        <w:t xml:space="preserve">1 –p)/n)) </w:t>
      </w:r>
    </w:p>
    <w:p w:rsidR="00102467" w:rsidRPr="00102467" w:rsidRDefault="00102467" w:rsidP="00102467">
      <w:pPr>
        <w:autoSpaceDE w:val="0"/>
        <w:autoSpaceDN w:val="0"/>
        <w:adjustRightInd w:val="0"/>
        <w:spacing w:after="0" w:line="240" w:lineRule="auto"/>
        <w:ind w:left="2160"/>
        <w:rPr>
          <w:rFonts w:cstheme="minorHAnsi"/>
          <w:color w:val="000000"/>
        </w:rPr>
      </w:pPr>
      <w:proofErr w:type="gramStart"/>
      <w:r w:rsidRPr="00102467">
        <w:rPr>
          <w:rFonts w:cstheme="minorHAnsi"/>
          <w:color w:val="000000"/>
        </w:rPr>
        <w:t>a</w:t>
      </w:r>
      <w:proofErr w:type="gramEnd"/>
      <w:r w:rsidRPr="00102467">
        <w:rPr>
          <w:rFonts w:cstheme="minorHAnsi"/>
          <w:color w:val="000000"/>
        </w:rPr>
        <w:t xml:space="preserve">. p = clinic performance rate, n = number of patients in the measure denominator </w:t>
      </w:r>
    </w:p>
    <w:p w:rsidR="00102467" w:rsidRPr="00102467" w:rsidRDefault="00102467" w:rsidP="00102467">
      <w:pPr>
        <w:autoSpaceDE w:val="0"/>
        <w:autoSpaceDN w:val="0"/>
        <w:adjustRightInd w:val="0"/>
        <w:spacing w:after="0" w:line="240" w:lineRule="auto"/>
        <w:rPr>
          <w:rFonts w:cstheme="minorHAnsi"/>
          <w:color w:val="000000"/>
        </w:rPr>
      </w:pPr>
    </w:p>
    <w:p w:rsidR="00102467" w:rsidRPr="00102467" w:rsidRDefault="00102467" w:rsidP="00102467">
      <w:pPr>
        <w:autoSpaceDE w:val="0"/>
        <w:autoSpaceDN w:val="0"/>
        <w:adjustRightInd w:val="0"/>
        <w:spacing w:after="0" w:line="240" w:lineRule="auto"/>
        <w:ind w:left="1440"/>
        <w:rPr>
          <w:rFonts w:cstheme="minorHAnsi"/>
          <w:color w:val="000000"/>
        </w:rPr>
      </w:pPr>
      <w:r w:rsidRPr="00102467">
        <w:rPr>
          <w:rFonts w:cstheme="minorHAnsi"/>
          <w:color w:val="000000"/>
        </w:rPr>
        <w:t xml:space="preserve">3. The reliability for each clinic was then calculated. The summary statistics are below: </w:t>
      </w:r>
    </w:p>
    <w:p w:rsidR="00102467" w:rsidRPr="00102467" w:rsidRDefault="00102467" w:rsidP="00102467">
      <w:pPr>
        <w:autoSpaceDE w:val="0"/>
        <w:autoSpaceDN w:val="0"/>
        <w:adjustRightInd w:val="0"/>
        <w:spacing w:after="28" w:line="240" w:lineRule="auto"/>
        <w:ind w:left="2160"/>
        <w:rPr>
          <w:rFonts w:cstheme="minorHAnsi"/>
          <w:color w:val="000000"/>
        </w:rPr>
      </w:pPr>
      <w:proofErr w:type="gramStart"/>
      <w:r w:rsidRPr="00102467">
        <w:rPr>
          <w:rFonts w:cstheme="minorHAnsi"/>
          <w:color w:val="000000"/>
        </w:rPr>
        <w:t>a</w:t>
      </w:r>
      <w:proofErr w:type="gramEnd"/>
      <w:r w:rsidRPr="00102467">
        <w:rPr>
          <w:rFonts w:cstheme="minorHAnsi"/>
          <w:color w:val="000000"/>
        </w:rPr>
        <w:t xml:space="preserve">. n = 121 clinics </w:t>
      </w:r>
    </w:p>
    <w:p w:rsidR="00102467" w:rsidRPr="00102467" w:rsidRDefault="00102467" w:rsidP="00102467">
      <w:pPr>
        <w:autoSpaceDE w:val="0"/>
        <w:autoSpaceDN w:val="0"/>
        <w:adjustRightInd w:val="0"/>
        <w:spacing w:after="28" w:line="240" w:lineRule="auto"/>
        <w:ind w:left="2160"/>
        <w:rPr>
          <w:rFonts w:cstheme="minorHAnsi"/>
          <w:color w:val="000000"/>
        </w:rPr>
      </w:pPr>
      <w:r w:rsidRPr="00102467">
        <w:rPr>
          <w:rFonts w:cstheme="minorHAnsi"/>
          <w:color w:val="000000"/>
        </w:rPr>
        <w:t xml:space="preserve">b. Average reliability = .7817 </w:t>
      </w:r>
    </w:p>
    <w:p w:rsidR="00102467" w:rsidRPr="00102467" w:rsidRDefault="00102467" w:rsidP="00102467">
      <w:pPr>
        <w:autoSpaceDE w:val="0"/>
        <w:autoSpaceDN w:val="0"/>
        <w:adjustRightInd w:val="0"/>
        <w:spacing w:after="28" w:line="240" w:lineRule="auto"/>
        <w:ind w:left="2160"/>
        <w:rPr>
          <w:rFonts w:cstheme="minorHAnsi"/>
          <w:color w:val="000000"/>
        </w:rPr>
      </w:pPr>
      <w:r w:rsidRPr="00102467">
        <w:rPr>
          <w:rFonts w:cstheme="minorHAnsi"/>
          <w:color w:val="000000"/>
        </w:rPr>
        <w:t xml:space="preserve">c. Median reliability = .7739 </w:t>
      </w:r>
    </w:p>
    <w:p w:rsidR="00102467" w:rsidRPr="00102467" w:rsidRDefault="00102467" w:rsidP="00102467">
      <w:pPr>
        <w:autoSpaceDE w:val="0"/>
        <w:autoSpaceDN w:val="0"/>
        <w:adjustRightInd w:val="0"/>
        <w:spacing w:after="0" w:line="240" w:lineRule="auto"/>
        <w:ind w:left="2160"/>
        <w:rPr>
          <w:rFonts w:cstheme="minorHAnsi"/>
          <w:color w:val="000000"/>
        </w:rPr>
      </w:pPr>
      <w:r w:rsidRPr="00102467">
        <w:rPr>
          <w:rFonts w:cstheme="minorHAnsi"/>
          <w:color w:val="000000"/>
        </w:rPr>
        <w:t xml:space="preserve">d. Max = .9911, Min = .6159 </w:t>
      </w:r>
    </w:p>
    <w:p w:rsidR="00102467" w:rsidRPr="00102467" w:rsidRDefault="00102467" w:rsidP="00102467">
      <w:pPr>
        <w:rPr>
          <w:i/>
          <w:color w:val="FF0000"/>
        </w:rPr>
      </w:pPr>
    </w:p>
    <w:p w:rsidR="00300FD4" w:rsidRPr="00300FD4" w:rsidRDefault="00300FD4" w:rsidP="00300FD4">
      <w:pPr>
        <w:pStyle w:val="ListParagraph"/>
        <w:numPr>
          <w:ilvl w:val="0"/>
          <w:numId w:val="8"/>
        </w:numPr>
        <w:tabs>
          <w:tab w:val="left" w:pos="1080"/>
        </w:tabs>
        <w:ind w:firstLine="0"/>
        <w:rPr>
          <w:b/>
        </w:rPr>
      </w:pPr>
      <w:r w:rsidRPr="00300FD4">
        <w:rPr>
          <w:b/>
        </w:rPr>
        <w:t>Other Information</w:t>
      </w:r>
    </w:p>
    <w:p w:rsidR="00300FD4" w:rsidRPr="00300FD4" w:rsidRDefault="00300FD4" w:rsidP="00300FD4">
      <w:pPr>
        <w:pStyle w:val="ListParagraph"/>
        <w:numPr>
          <w:ilvl w:val="0"/>
          <w:numId w:val="9"/>
        </w:numPr>
        <w:ind w:left="1440"/>
        <w:rPr>
          <w:i/>
          <w:color w:val="FF0000"/>
        </w:rPr>
      </w:pPr>
      <w:r w:rsidRPr="00300FD4">
        <w:rPr>
          <w:i/>
          <w:color w:val="FF0000"/>
        </w:rPr>
        <w:t>Is it risk adjusted?</w:t>
      </w:r>
      <w:r w:rsidR="0065637C">
        <w:rPr>
          <w:i/>
          <w:color w:val="FF0000"/>
        </w:rPr>
        <w:t xml:space="preserve">  </w:t>
      </w:r>
      <w:r w:rsidR="0065637C">
        <w:t>This measure is not currently</w:t>
      </w:r>
      <w:r w:rsidR="008662DB">
        <w:t xml:space="preserve"> risk adjusted.  W</w:t>
      </w:r>
      <w:r w:rsidR="008662DB">
        <w:rPr>
          <w:rFonts w:ascii="Arial" w:hAnsi="Arial" w:cs="Arial"/>
          <w:sz w:val="20"/>
          <w:szCs w:val="20"/>
        </w:rPr>
        <w:t xml:space="preserve">CHQ has studied risk adjusting data and can be prepared to put a process in place if appropriate.  Risk adjustment of ambulatory clinical outcome and process measures is not currently done that we are aware of at the regional or national level by virtue of the type of measures that these are in comparison to hospital-based measures.  </w:t>
      </w:r>
    </w:p>
    <w:p w:rsidR="008662DB" w:rsidRPr="00F266C2" w:rsidRDefault="00300FD4" w:rsidP="008662DB">
      <w:pPr>
        <w:numPr>
          <w:ilvl w:val="0"/>
          <w:numId w:val="16"/>
        </w:numPr>
        <w:spacing w:after="0" w:line="240" w:lineRule="auto"/>
        <w:rPr>
          <w:rFonts w:ascii="Arial" w:hAnsi="Arial" w:cs="Arial"/>
          <w:b/>
          <w:sz w:val="20"/>
          <w:szCs w:val="20"/>
        </w:rPr>
      </w:pPr>
      <w:r w:rsidRPr="00300FD4">
        <w:rPr>
          <w:i/>
          <w:color w:val="FF0000"/>
        </w:rPr>
        <w:t>Are there benchmarks?</w:t>
      </w:r>
      <w:r w:rsidR="008662DB">
        <w:rPr>
          <w:i/>
          <w:color w:val="FF0000"/>
        </w:rPr>
        <w:t xml:space="preserve"> </w:t>
      </w:r>
      <w:r w:rsidR="008662DB">
        <w:rPr>
          <w:rFonts w:ascii="Arial" w:hAnsi="Arial" w:cs="Arial"/>
          <w:sz w:val="20"/>
          <w:szCs w:val="20"/>
        </w:rPr>
        <w:t xml:space="preserve">  </w:t>
      </w:r>
      <w:r w:rsidR="008662DB" w:rsidRPr="008662DB">
        <w:rPr>
          <w:rFonts w:cstheme="minorHAnsi"/>
        </w:rPr>
        <w:t>Results can be benchmarked against WCHQ member results with benchmarks currently provided in both WCHQ public reports and in bi-annual scorecards provided for members to use internally.  Currently on the WCHQ website we provide:  Top Performer, 95</w:t>
      </w:r>
      <w:r w:rsidR="008662DB" w:rsidRPr="008662DB">
        <w:rPr>
          <w:rFonts w:cstheme="minorHAnsi"/>
          <w:vertAlign w:val="superscript"/>
        </w:rPr>
        <w:t>th</w:t>
      </w:r>
      <w:r w:rsidR="008662DB" w:rsidRPr="008662DB">
        <w:rPr>
          <w:rFonts w:cstheme="minorHAnsi"/>
        </w:rPr>
        <w:t>, 90</w:t>
      </w:r>
      <w:r w:rsidR="008662DB" w:rsidRPr="008662DB">
        <w:rPr>
          <w:rFonts w:cstheme="minorHAnsi"/>
          <w:vertAlign w:val="superscript"/>
        </w:rPr>
        <w:t>th</w:t>
      </w:r>
      <w:r w:rsidR="008662DB" w:rsidRPr="008662DB">
        <w:rPr>
          <w:rFonts w:cstheme="minorHAnsi"/>
        </w:rPr>
        <w:t>, 75</w:t>
      </w:r>
      <w:r w:rsidR="008662DB" w:rsidRPr="008662DB">
        <w:rPr>
          <w:rFonts w:cstheme="minorHAnsi"/>
          <w:vertAlign w:val="superscript"/>
        </w:rPr>
        <w:t>th</w:t>
      </w:r>
      <w:r w:rsidR="008662DB" w:rsidRPr="008662DB">
        <w:rPr>
          <w:rFonts w:cstheme="minorHAnsi"/>
        </w:rPr>
        <w:t>, Average and 50</w:t>
      </w:r>
      <w:r w:rsidR="008662DB" w:rsidRPr="008662DB">
        <w:rPr>
          <w:rFonts w:cstheme="minorHAnsi"/>
          <w:vertAlign w:val="superscript"/>
        </w:rPr>
        <w:t>th</w:t>
      </w:r>
      <w:r w:rsidR="008662DB" w:rsidRPr="008662DB">
        <w:rPr>
          <w:rFonts w:cstheme="minorHAnsi"/>
        </w:rPr>
        <w:t xml:space="preserve"> percentile benchmarks.   We also use NCQA benchmarks for similar measures in cases where we choose not to benchmark against other WCHQ members.</w:t>
      </w:r>
    </w:p>
    <w:p w:rsidR="00300FD4" w:rsidRPr="00300FD4" w:rsidRDefault="00300FD4" w:rsidP="00300FD4">
      <w:pPr>
        <w:pStyle w:val="ListParagraph"/>
        <w:spacing w:line="240" w:lineRule="auto"/>
        <w:ind w:left="2160"/>
        <w:rPr>
          <w:i/>
          <w:color w:val="FF0000"/>
        </w:rPr>
      </w:pPr>
    </w:p>
    <w:p w:rsidR="00300FD4" w:rsidRPr="00300FD4" w:rsidRDefault="00300FD4" w:rsidP="00300FD4">
      <w:pPr>
        <w:pStyle w:val="ListParagraph"/>
        <w:numPr>
          <w:ilvl w:val="0"/>
          <w:numId w:val="1"/>
        </w:numPr>
        <w:rPr>
          <w:b/>
        </w:rPr>
      </w:pPr>
      <w:r w:rsidRPr="00300FD4">
        <w:rPr>
          <w:b/>
        </w:rPr>
        <w:t>Endorsement</w:t>
      </w:r>
    </w:p>
    <w:p w:rsidR="00300FD4" w:rsidRPr="00300FD4" w:rsidRDefault="00300FD4" w:rsidP="00300FD4">
      <w:pPr>
        <w:pStyle w:val="ListParagraph"/>
        <w:numPr>
          <w:ilvl w:val="0"/>
          <w:numId w:val="7"/>
        </w:numPr>
        <w:rPr>
          <w:i/>
          <w:color w:val="FF0000"/>
        </w:rPr>
      </w:pPr>
      <w:r w:rsidRPr="00300FD4">
        <w:rPr>
          <w:i/>
          <w:color w:val="FF0000"/>
        </w:rPr>
        <w:t>NQF or other endorsing body</w:t>
      </w:r>
      <w:r w:rsidR="009C3311">
        <w:rPr>
          <w:i/>
          <w:color w:val="FF0000"/>
        </w:rPr>
        <w:t xml:space="preserve">.  </w:t>
      </w:r>
      <w:r w:rsidR="009C3311">
        <w:t>This measure is not currently NQF endorsed.  There is a similar measure from Minnesota Community Measurement</w:t>
      </w:r>
      <w:r w:rsidR="008662DB">
        <w:t xml:space="preserve"> (Optimal Vascular Care NQF #0076)</w:t>
      </w:r>
      <w:r w:rsidR="009C3311">
        <w:t xml:space="preserve"> that is NQF endorsed, however</w:t>
      </w:r>
      <w:r w:rsidR="007B4E4E">
        <w:t>,</w:t>
      </w:r>
      <w:r w:rsidR="009C3311">
        <w:t xml:space="preserve"> is not a PQRS measure nor listed for consideration.</w:t>
      </w:r>
    </w:p>
    <w:p w:rsidR="00300FD4" w:rsidRPr="00300FD4" w:rsidRDefault="00300FD4" w:rsidP="00300FD4">
      <w:pPr>
        <w:pStyle w:val="ListParagraph"/>
        <w:spacing w:line="240" w:lineRule="auto"/>
        <w:rPr>
          <w:b/>
        </w:rPr>
      </w:pPr>
    </w:p>
    <w:p w:rsidR="00300FD4" w:rsidRPr="00300FD4" w:rsidRDefault="00300FD4" w:rsidP="00300FD4">
      <w:pPr>
        <w:pStyle w:val="ListParagraph"/>
        <w:numPr>
          <w:ilvl w:val="0"/>
          <w:numId w:val="1"/>
        </w:numPr>
        <w:rPr>
          <w:b/>
        </w:rPr>
      </w:pPr>
      <w:r w:rsidRPr="00300FD4">
        <w:rPr>
          <w:b/>
        </w:rPr>
        <w:t>Summary</w:t>
      </w:r>
    </w:p>
    <w:p w:rsidR="00300FD4" w:rsidRPr="00300FD4" w:rsidRDefault="00300FD4" w:rsidP="00300FD4">
      <w:pPr>
        <w:pStyle w:val="ListParagraph"/>
        <w:numPr>
          <w:ilvl w:val="0"/>
          <w:numId w:val="4"/>
        </w:numPr>
        <w:rPr>
          <w:i/>
          <w:color w:val="FF0000"/>
        </w:rPr>
      </w:pPr>
      <w:r w:rsidRPr="00300FD4">
        <w:rPr>
          <w:i/>
          <w:color w:val="FF0000"/>
        </w:rPr>
        <w:t>Alignment with CMS Quality Strategy or MACRA (If applicable)</w:t>
      </w:r>
      <w:r w:rsidR="008662DB">
        <w:rPr>
          <w:i/>
          <w:color w:val="FF0000"/>
        </w:rPr>
        <w:t xml:space="preserve"> </w:t>
      </w:r>
      <w:r w:rsidR="008662DB">
        <w:rPr>
          <w:color w:val="FF0000"/>
        </w:rPr>
        <w:t xml:space="preserve">  </w:t>
      </w:r>
      <w:r w:rsidR="008662DB">
        <w:t>Yes, this measure falls into the Effectiveness of Clinical Care NQS Domain.</w:t>
      </w:r>
    </w:p>
    <w:p w:rsidR="008762B1" w:rsidRPr="008762B1" w:rsidRDefault="00300FD4" w:rsidP="00300FD4">
      <w:pPr>
        <w:pStyle w:val="ListParagraph"/>
        <w:numPr>
          <w:ilvl w:val="0"/>
          <w:numId w:val="4"/>
        </w:numPr>
        <w:rPr>
          <w:i/>
          <w:color w:val="FF0000"/>
        </w:rPr>
      </w:pPr>
      <w:r w:rsidRPr="008762B1">
        <w:rPr>
          <w:i/>
          <w:color w:val="FF0000"/>
        </w:rPr>
        <w:t>Importance to MIPS or other CMS programs</w:t>
      </w:r>
      <w:r w:rsidR="0089793B" w:rsidRPr="008762B1">
        <w:rPr>
          <w:i/>
          <w:color w:val="FF0000"/>
        </w:rPr>
        <w:t xml:space="preserve">:  </w:t>
      </w:r>
      <w:r w:rsidR="0089793B">
        <w:t xml:space="preserve">This measure and its four components </w:t>
      </w:r>
      <w:r w:rsidR="008762B1">
        <w:t>align with</w:t>
      </w:r>
      <w:r w:rsidR="0089793B">
        <w:t xml:space="preserve"> the CMS Million Hearts Program which focuses on </w:t>
      </w:r>
      <w:r w:rsidR="008762B1">
        <w:t>Aspirin When Appropriate, Blood Pressure Control, Cholesterol Management and Smoking Cessation.</w:t>
      </w:r>
    </w:p>
    <w:p w:rsidR="00300FD4" w:rsidRPr="008762B1" w:rsidRDefault="00300FD4" w:rsidP="00300FD4">
      <w:pPr>
        <w:pStyle w:val="ListParagraph"/>
        <w:numPr>
          <w:ilvl w:val="0"/>
          <w:numId w:val="4"/>
        </w:numPr>
        <w:rPr>
          <w:i/>
          <w:color w:val="FF0000"/>
        </w:rPr>
      </w:pPr>
      <w:r w:rsidRPr="008762B1">
        <w:rPr>
          <w:i/>
          <w:color w:val="FF0000"/>
        </w:rPr>
        <w:t>Rationale: Use of measure for inclusion in program (specialty society, regional collaborative, other)</w:t>
      </w:r>
      <w:r w:rsidR="00844118">
        <w:rPr>
          <w:i/>
          <w:color w:val="FF0000"/>
        </w:rPr>
        <w:t xml:space="preserve"> </w:t>
      </w:r>
      <w:proofErr w:type="gramStart"/>
      <w:r w:rsidR="008662DB">
        <w:t>Currently</w:t>
      </w:r>
      <w:proofErr w:type="gramEnd"/>
      <w:r w:rsidR="007B4E4E">
        <w:t>,</w:t>
      </w:r>
      <w:r w:rsidR="008662DB">
        <w:t xml:space="preserve"> this measure and the individual component measures are reported by WCHQ members and used for quality improvement purposes.  WCHQ is a regional quality collaborative.</w:t>
      </w:r>
    </w:p>
    <w:p w:rsidR="00300FD4" w:rsidRPr="00300FD4" w:rsidRDefault="00300FD4" w:rsidP="00300FD4">
      <w:pPr>
        <w:pStyle w:val="ListParagraph"/>
        <w:numPr>
          <w:ilvl w:val="0"/>
          <w:numId w:val="4"/>
        </w:numPr>
        <w:rPr>
          <w:i/>
          <w:color w:val="FF0000"/>
        </w:rPr>
      </w:pPr>
      <w:r w:rsidRPr="00300FD4">
        <w:rPr>
          <w:i/>
          <w:color w:val="FF0000"/>
        </w:rPr>
        <w:t>Public reporting (if applicable)</w:t>
      </w:r>
      <w:r w:rsidR="008662DB">
        <w:rPr>
          <w:i/>
          <w:color w:val="FF0000"/>
        </w:rPr>
        <w:t xml:space="preserve">  </w:t>
      </w:r>
      <w:r w:rsidR="008662DB">
        <w:t>Yes, this measure is reported on the WCHQ public reporting website as a composite measure and as the individual component measures</w:t>
      </w:r>
      <w:r w:rsidR="0089793B">
        <w:t xml:space="preserve"> at the following link:</w:t>
      </w:r>
    </w:p>
    <w:p w:rsidR="008662DB" w:rsidRPr="008662DB" w:rsidRDefault="00CF6E58" w:rsidP="008662DB">
      <w:pPr>
        <w:autoSpaceDE w:val="0"/>
        <w:autoSpaceDN w:val="0"/>
        <w:adjustRightInd w:val="0"/>
        <w:spacing w:after="0" w:line="240" w:lineRule="auto"/>
        <w:ind w:left="1440"/>
        <w:rPr>
          <w:rFonts w:cstheme="minorHAnsi"/>
          <w:color w:val="0000FF"/>
        </w:rPr>
      </w:pPr>
      <w:hyperlink r:id="rId13" w:history="1">
        <w:r w:rsidR="008662DB" w:rsidRPr="008662DB">
          <w:rPr>
            <w:rStyle w:val="Hyperlink"/>
            <w:rFonts w:cstheme="minorHAnsi"/>
          </w:rPr>
          <w:t>http://www.wchq.org/reporting/results.php?category_id=0&amp;topic_id=27&amp;source_id=0&amp;providerType=0&amp;region=0&amp;measure_id=205</w:t>
        </w:r>
      </w:hyperlink>
    </w:p>
    <w:p w:rsidR="009E02D1" w:rsidRDefault="009E02D1" w:rsidP="009E02D1">
      <w:pPr>
        <w:pStyle w:val="ListParagraph"/>
        <w:rPr>
          <w:b/>
        </w:rPr>
      </w:pPr>
    </w:p>
    <w:p w:rsidR="00034C77" w:rsidRPr="00493448" w:rsidRDefault="00034C77" w:rsidP="00034C77">
      <w:pPr>
        <w:pStyle w:val="ListParagraph"/>
        <w:numPr>
          <w:ilvl w:val="0"/>
          <w:numId w:val="4"/>
        </w:numPr>
        <w:rPr>
          <w:i/>
          <w:color w:val="FF0000"/>
        </w:rPr>
      </w:pPr>
      <w:r w:rsidRPr="00034C77">
        <w:rPr>
          <w:i/>
          <w:color w:val="FF0000"/>
        </w:rPr>
        <w:lastRenderedPageBreak/>
        <w:t>Preferable relevant Peer-Review Journal for publication</w:t>
      </w:r>
    </w:p>
    <w:p w:rsidR="00493448" w:rsidRPr="00493448" w:rsidRDefault="00493448" w:rsidP="00493448">
      <w:pPr>
        <w:pStyle w:val="ListParagraph"/>
        <w:ind w:left="1440"/>
      </w:pPr>
      <w:r w:rsidRPr="00493448">
        <w:t>WCHQ</w:t>
      </w:r>
      <w:r>
        <w:t xml:space="preserve"> </w:t>
      </w:r>
      <w:r w:rsidRPr="00493448">
        <w:t xml:space="preserve">would </w:t>
      </w:r>
      <w:r w:rsidR="00A02D98">
        <w:t>recommend that</w:t>
      </w:r>
      <w:r w:rsidRPr="00493448">
        <w:t xml:space="preserve"> this measure </w:t>
      </w:r>
      <w:r w:rsidR="00A02D98">
        <w:t xml:space="preserve">be </w:t>
      </w:r>
      <w:r w:rsidRPr="00493448">
        <w:t xml:space="preserve">submitted to </w:t>
      </w:r>
      <w:r w:rsidR="00CF6E58">
        <w:t>the American Heart Association journals.</w:t>
      </w:r>
      <w:bookmarkStart w:id="0" w:name="_GoBack"/>
      <w:bookmarkEnd w:id="0"/>
    </w:p>
    <w:p w:rsidR="00034C77" w:rsidRPr="00300FD4" w:rsidRDefault="00034C77" w:rsidP="009E02D1">
      <w:pPr>
        <w:pStyle w:val="ListParagraph"/>
        <w:rPr>
          <w:b/>
        </w:rPr>
      </w:pPr>
    </w:p>
    <w:sectPr w:rsidR="00034C77" w:rsidRPr="00300FD4" w:rsidSect="00E45B0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55644"/>
    <w:multiLevelType w:val="hybridMultilevel"/>
    <w:tmpl w:val="EF402AB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7C92D80"/>
    <w:multiLevelType w:val="hybridMultilevel"/>
    <w:tmpl w:val="38DA55BC"/>
    <w:lvl w:ilvl="0" w:tplc="8550BE3E">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19185A"/>
    <w:multiLevelType w:val="hybridMultilevel"/>
    <w:tmpl w:val="B586541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34B841FD"/>
    <w:multiLevelType w:val="hybridMultilevel"/>
    <w:tmpl w:val="3BEE7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5513200"/>
    <w:multiLevelType w:val="hybridMultilevel"/>
    <w:tmpl w:val="599E62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713109D"/>
    <w:multiLevelType w:val="hybridMultilevel"/>
    <w:tmpl w:val="33687D5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3CD50501"/>
    <w:multiLevelType w:val="hybridMultilevel"/>
    <w:tmpl w:val="387EB97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27E291B"/>
    <w:multiLevelType w:val="hybridMultilevel"/>
    <w:tmpl w:val="324274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FC0AA4"/>
    <w:multiLevelType w:val="hybridMultilevel"/>
    <w:tmpl w:val="DCF4F66A"/>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8454ED2"/>
    <w:multiLevelType w:val="hybridMultilevel"/>
    <w:tmpl w:val="4C7A4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B775AB"/>
    <w:multiLevelType w:val="hybridMultilevel"/>
    <w:tmpl w:val="E2AC66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F84419D"/>
    <w:multiLevelType w:val="hybridMultilevel"/>
    <w:tmpl w:val="B4687D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2F71B7F"/>
    <w:multiLevelType w:val="hybridMultilevel"/>
    <w:tmpl w:val="42BEDB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3CB568A"/>
    <w:multiLevelType w:val="hybridMultilevel"/>
    <w:tmpl w:val="90E07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177845"/>
    <w:multiLevelType w:val="hybridMultilevel"/>
    <w:tmpl w:val="3AA436F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DB04F17"/>
    <w:multiLevelType w:val="hybridMultilevel"/>
    <w:tmpl w:val="B0505B94"/>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1"/>
  </w:num>
  <w:num w:numId="2">
    <w:abstractNumId w:val="14"/>
  </w:num>
  <w:num w:numId="3">
    <w:abstractNumId w:val="4"/>
  </w:num>
  <w:num w:numId="4">
    <w:abstractNumId w:val="3"/>
  </w:num>
  <w:num w:numId="5">
    <w:abstractNumId w:val="10"/>
  </w:num>
  <w:num w:numId="6">
    <w:abstractNumId w:val="2"/>
  </w:num>
  <w:num w:numId="7">
    <w:abstractNumId w:val="11"/>
  </w:num>
  <w:num w:numId="8">
    <w:abstractNumId w:val="7"/>
  </w:num>
  <w:num w:numId="9">
    <w:abstractNumId w:val="9"/>
  </w:num>
  <w:num w:numId="10">
    <w:abstractNumId w:val="13"/>
  </w:num>
  <w:num w:numId="11">
    <w:abstractNumId w:val="6"/>
  </w:num>
  <w:num w:numId="12">
    <w:abstractNumId w:val="0"/>
  </w:num>
  <w:num w:numId="13">
    <w:abstractNumId w:val="5"/>
  </w:num>
  <w:num w:numId="14">
    <w:abstractNumId w:val="8"/>
  </w:num>
  <w:num w:numId="15">
    <w:abstractNumId w:val="1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120"/>
    <w:rsid w:val="00034C77"/>
    <w:rsid w:val="00063275"/>
    <w:rsid w:val="00087B73"/>
    <w:rsid w:val="00102467"/>
    <w:rsid w:val="00125DF7"/>
    <w:rsid w:val="00181763"/>
    <w:rsid w:val="00191E83"/>
    <w:rsid w:val="002201BB"/>
    <w:rsid w:val="002547C1"/>
    <w:rsid w:val="00255B0A"/>
    <w:rsid w:val="002704D1"/>
    <w:rsid w:val="00296B16"/>
    <w:rsid w:val="002A42D0"/>
    <w:rsid w:val="00300FD4"/>
    <w:rsid w:val="003309DF"/>
    <w:rsid w:val="003B190F"/>
    <w:rsid w:val="003F3D0C"/>
    <w:rsid w:val="0041080A"/>
    <w:rsid w:val="00493448"/>
    <w:rsid w:val="00545F9F"/>
    <w:rsid w:val="005C731D"/>
    <w:rsid w:val="005D65BF"/>
    <w:rsid w:val="005D7582"/>
    <w:rsid w:val="0065637C"/>
    <w:rsid w:val="007B0045"/>
    <w:rsid w:val="007B4E4E"/>
    <w:rsid w:val="00817C4F"/>
    <w:rsid w:val="00844118"/>
    <w:rsid w:val="008662DB"/>
    <w:rsid w:val="008762B1"/>
    <w:rsid w:val="0089793B"/>
    <w:rsid w:val="009C3311"/>
    <w:rsid w:val="009E02D1"/>
    <w:rsid w:val="00A02D98"/>
    <w:rsid w:val="00AF50B5"/>
    <w:rsid w:val="00BD2120"/>
    <w:rsid w:val="00C91023"/>
    <w:rsid w:val="00CA60B3"/>
    <w:rsid w:val="00CF6E58"/>
    <w:rsid w:val="00D000D3"/>
    <w:rsid w:val="00D27149"/>
    <w:rsid w:val="00E45B08"/>
    <w:rsid w:val="00EE676B"/>
    <w:rsid w:val="00F82044"/>
    <w:rsid w:val="00FC510D"/>
    <w:rsid w:val="00FD1C72"/>
    <w:rsid w:val="00FE61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B93732-4C33-42CB-B3EB-4F065E266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5B08"/>
    <w:pPr>
      <w:ind w:left="720"/>
      <w:contextualSpacing/>
    </w:pPr>
  </w:style>
  <w:style w:type="paragraph" w:styleId="BalloonText">
    <w:name w:val="Balloon Text"/>
    <w:basedOn w:val="Normal"/>
    <w:link w:val="BalloonTextChar"/>
    <w:uiPriority w:val="99"/>
    <w:semiHidden/>
    <w:unhideWhenUsed/>
    <w:rsid w:val="00E45B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5B08"/>
    <w:rPr>
      <w:rFonts w:ascii="Segoe UI" w:hAnsi="Segoe UI" w:cs="Segoe UI"/>
      <w:sz w:val="18"/>
      <w:szCs w:val="18"/>
    </w:rPr>
  </w:style>
  <w:style w:type="table" w:styleId="TableGrid">
    <w:name w:val="Table Grid"/>
    <w:basedOn w:val="TableNormal"/>
    <w:uiPriority w:val="39"/>
    <w:rsid w:val="009E0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309DF"/>
    <w:rPr>
      <w:color w:val="0563C1"/>
      <w:u w:val="single"/>
    </w:rPr>
  </w:style>
  <w:style w:type="paragraph" w:customStyle="1" w:styleId="Default">
    <w:name w:val="Default"/>
    <w:rsid w:val="00296B16"/>
    <w:pPr>
      <w:autoSpaceDE w:val="0"/>
      <w:autoSpaceDN w:val="0"/>
      <w:adjustRightInd w:val="0"/>
      <w:spacing w:after="0" w:line="240" w:lineRule="auto"/>
    </w:pPr>
    <w:rPr>
      <w:rFonts w:ascii="Calibri" w:hAnsi="Calibri" w:cs="Calibri"/>
      <w:color w:val="000000"/>
      <w:sz w:val="24"/>
      <w:szCs w:val="24"/>
    </w:rPr>
  </w:style>
  <w:style w:type="paragraph" w:styleId="PlainText">
    <w:name w:val="Plain Text"/>
    <w:basedOn w:val="Normal"/>
    <w:link w:val="PlainTextChar"/>
    <w:uiPriority w:val="99"/>
    <w:rsid w:val="0065637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65637C"/>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FE6139"/>
    <w:rPr>
      <w:color w:val="954F72" w:themeColor="followedHyperlink"/>
      <w:u w:val="single"/>
    </w:rPr>
  </w:style>
  <w:style w:type="character" w:customStyle="1" w:styleId="apple-converted-space">
    <w:name w:val="apple-converted-space"/>
    <w:basedOn w:val="DefaultParagraphFont"/>
    <w:rsid w:val="0089793B"/>
  </w:style>
  <w:style w:type="character" w:styleId="CommentReference">
    <w:name w:val="annotation reference"/>
    <w:basedOn w:val="DefaultParagraphFont"/>
    <w:uiPriority w:val="99"/>
    <w:semiHidden/>
    <w:unhideWhenUsed/>
    <w:rsid w:val="00034C77"/>
    <w:rPr>
      <w:sz w:val="16"/>
      <w:szCs w:val="16"/>
    </w:rPr>
  </w:style>
  <w:style w:type="paragraph" w:styleId="CommentText">
    <w:name w:val="annotation text"/>
    <w:basedOn w:val="Normal"/>
    <w:link w:val="CommentTextChar"/>
    <w:uiPriority w:val="99"/>
    <w:semiHidden/>
    <w:unhideWhenUsed/>
    <w:rsid w:val="00034C77"/>
    <w:pPr>
      <w:spacing w:line="240" w:lineRule="auto"/>
    </w:pPr>
    <w:rPr>
      <w:sz w:val="20"/>
      <w:szCs w:val="20"/>
    </w:rPr>
  </w:style>
  <w:style w:type="character" w:customStyle="1" w:styleId="CommentTextChar">
    <w:name w:val="Comment Text Char"/>
    <w:basedOn w:val="DefaultParagraphFont"/>
    <w:link w:val="CommentText"/>
    <w:uiPriority w:val="99"/>
    <w:semiHidden/>
    <w:rsid w:val="00034C7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78246">
      <w:bodyDiv w:val="1"/>
      <w:marLeft w:val="0"/>
      <w:marRight w:val="0"/>
      <w:marTop w:val="0"/>
      <w:marBottom w:val="0"/>
      <w:divBdr>
        <w:top w:val="none" w:sz="0" w:space="0" w:color="auto"/>
        <w:left w:val="none" w:sz="0" w:space="0" w:color="auto"/>
        <w:bottom w:val="none" w:sz="0" w:space="0" w:color="auto"/>
        <w:right w:val="none" w:sz="0" w:space="0" w:color="auto"/>
      </w:divBdr>
    </w:div>
    <w:div w:id="573046937">
      <w:bodyDiv w:val="1"/>
      <w:marLeft w:val="0"/>
      <w:marRight w:val="0"/>
      <w:marTop w:val="0"/>
      <w:marBottom w:val="0"/>
      <w:divBdr>
        <w:top w:val="none" w:sz="0" w:space="0" w:color="auto"/>
        <w:left w:val="none" w:sz="0" w:space="0" w:color="auto"/>
        <w:bottom w:val="none" w:sz="0" w:space="0" w:color="auto"/>
        <w:right w:val="none" w:sz="0" w:space="0" w:color="auto"/>
      </w:divBdr>
    </w:div>
    <w:div w:id="140587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irc.ahajournals.org/content/124/22/2458.full.pdf+html" TargetMode="External"/><Relationship Id="rId13" Type="http://schemas.openxmlformats.org/officeDocument/2006/relationships/hyperlink" Target="http://www.wchq.org/reporting/results.php?category_id=0&amp;topic_id=27&amp;source_id=0&amp;providerType=0&amp;region=0&amp;measure_id=205"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wchq.org/reporting/results.php?category_id=0&amp;topic_id=27&amp;source_id=0&amp;providerType=0&amp;region=0&amp;measure_id=2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irc.ahajournals.org/content/early/2013/11/11/01.cir.0000437738.63853.7a.full.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ctri.wisc.edu/Researchers/Guideline_update/cpg_full2008.pdf" TargetMode="External"/><Relationship Id="rId4" Type="http://schemas.openxmlformats.org/officeDocument/2006/relationships/numbering" Target="numbering.xml"/><Relationship Id="rId9" Type="http://schemas.openxmlformats.org/officeDocument/2006/relationships/hyperlink" Target="http://circ.ahajournals.org/content/124/22/2458.full.pdf+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872826E0338434BBA8C0F9B7C8D8BB7" ma:contentTypeVersion="0" ma:contentTypeDescription="Create a new document." ma:contentTypeScope="" ma:versionID="803361ef666d97848022df3e9b4e1f8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31B43-6D8F-43F6-9F3F-69987BB863D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7E22B2BD-BD01-480A-86D7-4D0147FC8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9849923-7087-41D9-9726-91AD489994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3498</Words>
  <Characters>19943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23395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Harris</dc:creator>
  <cp:lastModifiedBy>Jennifer Harris</cp:lastModifiedBy>
  <cp:revision>8</cp:revision>
  <cp:lastPrinted>2016-03-31T18:59:00Z</cp:lastPrinted>
  <dcterms:created xsi:type="dcterms:W3CDTF">2017-02-01T18:23:00Z</dcterms:created>
  <dcterms:modified xsi:type="dcterms:W3CDTF">2017-02-03T12:53:00Z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0x0101002872826E0338434BBA8C0F9B7C8D8BB7</vt:lpwstr>
  </property>
  <property fmtid="{D5CDD505-2E9C-101B-9397-08002B2CF9AE}" pid="4" name="_AdHocReviewCycleID">
    <vt:i4>1539642501</vt:i4>
  </property>
  <property fmtid="{D5CDD505-2E9C-101B-9397-08002B2CF9AE}" pid="5" name="_EmailSubject">
    <vt:lpwstr>Ready for CMS Website</vt:lpwstr>
  </property>
  <property fmtid="{D5CDD505-2E9C-101B-9397-08002B2CF9AE}" pid="6" name="_AuthorEmail">
    <vt:lpwstr>Michelle.Geppi@cms.hhs.gov</vt:lpwstr>
  </property>
  <property fmtid="{D5CDD505-2E9C-101B-9397-08002B2CF9AE}" pid="7" name="_AuthorEmailDisplayName">
    <vt:lpwstr>Geppi, Michelle (CMS/CCSQ)</vt:lpwstr>
  </property>
  <property fmtid="{D5CDD505-2E9C-101B-9397-08002B2CF9AE}" pid="8" name="_PreviousAdHocReviewCycleID">
    <vt:i4>737222861</vt:i4>
  </property>
</Properties>
</file>